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242" w:lineRule="auto" w:before="39"/>
        <w:ind w:left="100" w:right="130" w:firstLine="0"/>
        <w:jc w:val="both"/>
        <w:rPr>
          <w:b/>
          <w:sz w:val="22"/>
        </w:rPr>
      </w:pPr>
      <w:r>
        <w:rPr>
          <w:b/>
          <w:sz w:val="22"/>
        </w:rPr>
        <w:t>RESOLUCIÓN do 5 de outubro de 2000, da Delegación Provincial da Coruña, pola que se dispón o depósito e a publicación, no Diario Oficial de Galicia, do acordo regulador das condicións de traballo do persoal funcionario ó servicio do Concello de Cedeira.</w:t>
      </w:r>
    </w:p>
    <w:p>
      <w:pPr>
        <w:pStyle w:val="BodyText"/>
        <w:spacing w:before="8"/>
        <w:ind w:left="0"/>
        <w:jc w:val="left"/>
        <w:rPr>
          <w:b/>
          <w:sz w:val="21"/>
        </w:rPr>
      </w:pPr>
    </w:p>
    <w:p>
      <w:pPr>
        <w:pStyle w:val="BodyText"/>
        <w:ind w:right="116"/>
      </w:pPr>
      <w:r>
        <w:rPr/>
        <w:t>Visto o texto do acordo regulador das condicións de traballo do persoal funcionario ó servicio do Concello de Cedeira, que tivo entrada nesta delegación provincial o día 15-9-2000, subscrito pola representación do concello e polo delegado de persoal o día 23-3-2000, e aprobado polo Pleno do Concello en sesión extraordinaria do día 27-4-2000, de conformidade co disposto no artigo 36 da Lei 9/1987, do 12 de xuño, sobre órganos de representación, deternimanción das condicións de traballo e participación de persoal ó servicio das administracións públicas, segundo a redacción dada pola Lei 7/1990, do 19 de xullo, esta delegación provincial</w:t>
      </w:r>
    </w:p>
    <w:p>
      <w:pPr>
        <w:pStyle w:val="BodyText"/>
        <w:spacing w:before="11"/>
        <w:ind w:left="0"/>
        <w:jc w:val="left"/>
        <w:rPr>
          <w:sz w:val="21"/>
        </w:rPr>
      </w:pPr>
    </w:p>
    <w:p>
      <w:pPr>
        <w:pStyle w:val="BodyText"/>
      </w:pPr>
      <w:r>
        <w:rPr/>
        <w:t>ACORDA:</w:t>
      </w:r>
    </w:p>
    <w:p>
      <w:pPr>
        <w:pStyle w:val="BodyText"/>
        <w:spacing w:before="11"/>
        <w:ind w:left="0"/>
        <w:jc w:val="left"/>
        <w:rPr>
          <w:sz w:val="21"/>
        </w:rPr>
      </w:pPr>
    </w:p>
    <w:p>
      <w:pPr>
        <w:pStyle w:val="BodyText"/>
        <w:ind w:right="131"/>
      </w:pPr>
      <w:r>
        <w:rPr/>
        <w:t>Primeiro.-Ordena-lo depósito do citado acordo no Servicio de Relacións Laborais, Sección de Mediación, Arbitraxe e Conciliación.</w:t>
      </w:r>
    </w:p>
    <w:p>
      <w:pPr>
        <w:pStyle w:val="BodyText"/>
        <w:spacing w:before="2"/>
        <w:ind w:left="0"/>
        <w:jc w:val="left"/>
      </w:pPr>
    </w:p>
    <w:p>
      <w:pPr>
        <w:pStyle w:val="BodyText"/>
        <w:spacing w:line="480" w:lineRule="auto" w:before="1"/>
        <w:ind w:right="2791"/>
        <w:jc w:val="left"/>
      </w:pPr>
      <w:r>
        <w:rPr/>
        <w:t>Segundo.-Dispoñe-la súa publicación no Diario Oficial de Galicia. A Coruña, 5 de outubro de 2000.</w:t>
      </w:r>
    </w:p>
    <w:p>
      <w:pPr>
        <w:pStyle w:val="BodyText"/>
        <w:spacing w:line="480" w:lineRule="auto"/>
        <w:ind w:right="5874"/>
        <w:jc w:val="left"/>
      </w:pPr>
      <w:r>
        <w:rPr/>
        <w:t>José Antonio Álvarez Vidal Delegado provincial da Coruña</w:t>
      </w:r>
    </w:p>
    <w:p>
      <w:pPr>
        <w:spacing w:after="0" w:line="480" w:lineRule="auto"/>
        <w:jc w:val="left"/>
        <w:sectPr>
          <w:type w:val="continuous"/>
          <w:pgSz w:w="11910" w:h="16840"/>
          <w:pgMar w:top="1360" w:bottom="280" w:left="1600" w:right="1580"/>
        </w:sectPr>
      </w:pPr>
    </w:p>
    <w:p>
      <w:pPr>
        <w:spacing w:before="87"/>
        <w:ind w:left="1468" w:right="793" w:hanging="681"/>
        <w:jc w:val="left"/>
        <w:rPr>
          <w:i/>
          <w:sz w:val="32"/>
        </w:rPr>
      </w:pPr>
      <w:r>
        <w:rPr>
          <w:i/>
          <w:sz w:val="32"/>
        </w:rPr>
        <w:t>Acordo regulador das condicións de traballo do persoal </w:t>
      </w:r>
      <w:r>
        <w:rPr>
          <w:i/>
          <w:sz w:val="32"/>
        </w:rPr>
        <w:t>funcionario ó servicio do Concello de Cedeira</w:t>
      </w:r>
    </w:p>
    <w:p>
      <w:pPr>
        <w:pStyle w:val="BodyText"/>
        <w:spacing w:line="480" w:lineRule="auto" w:before="268"/>
        <w:ind w:right="6935"/>
        <w:jc w:val="left"/>
      </w:pPr>
      <w:r>
        <w:rPr/>
        <w:t>Capítulo I Disposicións xerais</w:t>
      </w:r>
    </w:p>
    <w:p>
      <w:pPr>
        <w:pStyle w:val="BodyText"/>
        <w:spacing w:line="267" w:lineRule="exact"/>
      </w:pPr>
      <w:r>
        <w:rPr/>
        <w:t>Artigo 1º.-Ámbito de aplicación.</w:t>
      </w:r>
    </w:p>
    <w:p>
      <w:pPr>
        <w:pStyle w:val="BodyText"/>
        <w:spacing w:before="3"/>
        <w:ind w:right="118"/>
      </w:pPr>
      <w:r>
        <w:rPr/>
        <w:t>Os acordos que se recollen no presente documento serán de aplicación ó persoal funcionario que preste servicios para o Concello de Cedeira, calquera que sexa a localización da dependencia, servicio ou número de traballadores que o atendan, considerándose para tal efecto o concello como única unidade de traballo.</w:t>
      </w:r>
    </w:p>
    <w:p>
      <w:pPr>
        <w:pStyle w:val="BodyText"/>
        <w:spacing w:before="11"/>
        <w:ind w:left="0"/>
        <w:jc w:val="left"/>
        <w:rPr>
          <w:sz w:val="21"/>
        </w:rPr>
      </w:pPr>
    </w:p>
    <w:p>
      <w:pPr>
        <w:pStyle w:val="BodyText"/>
      </w:pPr>
      <w:r>
        <w:rPr/>
        <w:t>Artigo 2º.-Ámbito temporal.</w:t>
      </w:r>
    </w:p>
    <w:p>
      <w:pPr>
        <w:pStyle w:val="ListParagraph"/>
        <w:numPr>
          <w:ilvl w:val="0"/>
          <w:numId w:val="1"/>
        </w:numPr>
        <w:tabs>
          <w:tab w:pos="321" w:val="left" w:leader="none"/>
        </w:tabs>
        <w:spacing w:line="242" w:lineRule="auto" w:before="0" w:after="0"/>
        <w:ind w:left="100" w:right="117" w:firstLine="0"/>
        <w:jc w:val="both"/>
        <w:rPr>
          <w:sz w:val="22"/>
        </w:rPr>
      </w:pPr>
      <w:r>
        <w:rPr>
          <w:sz w:val="22"/>
        </w:rPr>
        <w:t>Vixencia: con independencia da data en que sexa asinado polas partes, aprobado polo Pleno da Corporación Municipal e regulamentariamente publicado, este acordo entrará en vigor o  día</w:t>
      </w:r>
      <w:r>
        <w:rPr>
          <w:spacing w:val="-5"/>
          <w:sz w:val="22"/>
        </w:rPr>
        <w:t> </w:t>
      </w:r>
      <w:r>
        <w:rPr>
          <w:sz w:val="22"/>
        </w:rPr>
        <w:t>1</w:t>
      </w:r>
      <w:r>
        <w:rPr>
          <w:spacing w:val="-3"/>
          <w:sz w:val="22"/>
        </w:rPr>
        <w:t> </w:t>
      </w:r>
      <w:r>
        <w:rPr>
          <w:sz w:val="22"/>
        </w:rPr>
        <w:t>de</w:t>
      </w:r>
      <w:r>
        <w:rPr>
          <w:spacing w:val="-4"/>
          <w:sz w:val="22"/>
        </w:rPr>
        <w:t> </w:t>
      </w:r>
      <w:r>
        <w:rPr>
          <w:sz w:val="22"/>
        </w:rPr>
        <w:t>xaneiro</w:t>
      </w:r>
      <w:r>
        <w:rPr>
          <w:spacing w:val="-3"/>
          <w:sz w:val="22"/>
        </w:rPr>
        <w:t> </w:t>
      </w:r>
      <w:r>
        <w:rPr>
          <w:sz w:val="22"/>
        </w:rPr>
        <w:t>de</w:t>
      </w:r>
      <w:r>
        <w:rPr>
          <w:spacing w:val="-1"/>
          <w:sz w:val="22"/>
        </w:rPr>
        <w:t> </w:t>
      </w:r>
      <w:r>
        <w:rPr>
          <w:sz w:val="22"/>
        </w:rPr>
        <w:t>2000</w:t>
      </w:r>
      <w:r>
        <w:rPr>
          <w:spacing w:val="-3"/>
          <w:sz w:val="22"/>
        </w:rPr>
        <w:t> </w:t>
      </w:r>
      <w:r>
        <w:rPr>
          <w:sz w:val="22"/>
        </w:rPr>
        <w:t>e</w:t>
      </w:r>
      <w:r>
        <w:rPr>
          <w:spacing w:val="-1"/>
          <w:sz w:val="22"/>
        </w:rPr>
        <w:t> </w:t>
      </w:r>
      <w:r>
        <w:rPr>
          <w:sz w:val="22"/>
        </w:rPr>
        <w:t>a</w:t>
      </w:r>
      <w:r>
        <w:rPr>
          <w:spacing w:val="-5"/>
          <w:sz w:val="22"/>
        </w:rPr>
        <w:t> </w:t>
      </w:r>
      <w:r>
        <w:rPr>
          <w:sz w:val="22"/>
        </w:rPr>
        <w:t>súa</w:t>
      </w:r>
      <w:r>
        <w:rPr>
          <w:spacing w:val="-4"/>
          <w:sz w:val="22"/>
        </w:rPr>
        <w:t> </w:t>
      </w:r>
      <w:r>
        <w:rPr>
          <w:sz w:val="22"/>
        </w:rPr>
        <w:t>vixencia</w:t>
      </w:r>
      <w:r>
        <w:rPr>
          <w:spacing w:val="-1"/>
          <w:sz w:val="22"/>
        </w:rPr>
        <w:t> </w:t>
      </w:r>
      <w:r>
        <w:rPr>
          <w:sz w:val="22"/>
        </w:rPr>
        <w:t>estenderase</w:t>
      </w:r>
      <w:r>
        <w:rPr>
          <w:spacing w:val="-5"/>
          <w:sz w:val="22"/>
        </w:rPr>
        <w:t> </w:t>
      </w:r>
      <w:r>
        <w:rPr>
          <w:sz w:val="22"/>
        </w:rPr>
        <w:t>ata</w:t>
      </w:r>
      <w:r>
        <w:rPr>
          <w:spacing w:val="-1"/>
          <w:sz w:val="22"/>
        </w:rPr>
        <w:t> </w:t>
      </w:r>
      <w:r>
        <w:rPr>
          <w:sz w:val="22"/>
        </w:rPr>
        <w:t>o</w:t>
      </w:r>
      <w:r>
        <w:rPr>
          <w:spacing w:val="-3"/>
          <w:sz w:val="22"/>
        </w:rPr>
        <w:t> </w:t>
      </w:r>
      <w:r>
        <w:rPr>
          <w:sz w:val="22"/>
        </w:rPr>
        <w:t>31</w:t>
      </w:r>
      <w:r>
        <w:rPr>
          <w:spacing w:val="-3"/>
          <w:sz w:val="22"/>
        </w:rPr>
        <w:t> </w:t>
      </w:r>
      <w:r>
        <w:rPr>
          <w:sz w:val="22"/>
        </w:rPr>
        <w:t>de</w:t>
      </w:r>
      <w:r>
        <w:rPr>
          <w:spacing w:val="-1"/>
          <w:sz w:val="22"/>
        </w:rPr>
        <w:t> </w:t>
      </w:r>
      <w:r>
        <w:rPr>
          <w:sz w:val="22"/>
        </w:rPr>
        <w:t>decembro</w:t>
      </w:r>
      <w:r>
        <w:rPr>
          <w:spacing w:val="-3"/>
          <w:sz w:val="22"/>
        </w:rPr>
        <w:t> </w:t>
      </w:r>
      <w:r>
        <w:rPr>
          <w:sz w:val="22"/>
        </w:rPr>
        <w:t>do mesmo</w:t>
      </w:r>
      <w:r>
        <w:rPr>
          <w:spacing w:val="-3"/>
          <w:sz w:val="22"/>
        </w:rPr>
        <w:t> </w:t>
      </w:r>
      <w:r>
        <w:rPr>
          <w:sz w:val="22"/>
        </w:rPr>
        <w:t>ano.</w:t>
      </w:r>
    </w:p>
    <w:p>
      <w:pPr>
        <w:pStyle w:val="ListParagraph"/>
        <w:numPr>
          <w:ilvl w:val="0"/>
          <w:numId w:val="1"/>
        </w:numPr>
        <w:tabs>
          <w:tab w:pos="325" w:val="left" w:leader="none"/>
        </w:tabs>
        <w:spacing w:line="240" w:lineRule="auto" w:before="0" w:after="0"/>
        <w:ind w:left="100" w:right="122" w:firstLine="0"/>
        <w:jc w:val="both"/>
        <w:rPr>
          <w:sz w:val="22"/>
        </w:rPr>
      </w:pPr>
      <w:r>
        <w:rPr>
          <w:sz w:val="22"/>
        </w:rPr>
        <w:t>Denuncia: a súa denuncia enténdese efectuada de forma automática cun mes de antelación ó remate da vixencia antes indicada, debendo iniciarse as negociacións do  novo  acordo  en data posterior ós quince días naturais contados desde que sexa efectiva tal denuncia, se ben, ata tanto se acade ese novo acordo, manterase en vigor este en todo o seu contido normativo, agás no referido ó capítulo de retribucións, o cal se reflectirá anualmente na correspondente táboa salarial, previamente negociade entre as partes, axustada a súa  aplicación  ás disposicións legais vixentes, e ó previsto no calendario laboral aprobado polos órganos competentes,</w:t>
      </w:r>
      <w:r>
        <w:rPr>
          <w:spacing w:val="-7"/>
          <w:sz w:val="22"/>
        </w:rPr>
        <w:t> </w:t>
      </w:r>
      <w:r>
        <w:rPr>
          <w:sz w:val="22"/>
        </w:rPr>
        <w:t>sen</w:t>
      </w:r>
      <w:r>
        <w:rPr>
          <w:spacing w:val="-8"/>
          <w:sz w:val="22"/>
        </w:rPr>
        <w:t> </w:t>
      </w:r>
      <w:r>
        <w:rPr>
          <w:sz w:val="22"/>
        </w:rPr>
        <w:t>prexuízo</w:t>
      </w:r>
      <w:r>
        <w:rPr>
          <w:spacing w:val="-8"/>
          <w:sz w:val="22"/>
        </w:rPr>
        <w:t> </w:t>
      </w:r>
      <w:r>
        <w:rPr>
          <w:sz w:val="22"/>
        </w:rPr>
        <w:t>dos</w:t>
      </w:r>
      <w:r>
        <w:rPr>
          <w:spacing w:val="-6"/>
          <w:sz w:val="22"/>
        </w:rPr>
        <w:t> </w:t>
      </w:r>
      <w:r>
        <w:rPr>
          <w:sz w:val="22"/>
        </w:rPr>
        <w:t>condicionamentos</w:t>
      </w:r>
      <w:r>
        <w:rPr>
          <w:spacing w:val="-7"/>
          <w:sz w:val="22"/>
        </w:rPr>
        <w:t> </w:t>
      </w:r>
      <w:r>
        <w:rPr>
          <w:sz w:val="22"/>
        </w:rPr>
        <w:t>específicos</w:t>
      </w:r>
      <w:r>
        <w:rPr>
          <w:spacing w:val="-7"/>
          <w:sz w:val="22"/>
        </w:rPr>
        <w:t> </w:t>
      </w:r>
      <w:r>
        <w:rPr>
          <w:sz w:val="22"/>
        </w:rPr>
        <w:t>recollidos</w:t>
      </w:r>
      <w:r>
        <w:rPr>
          <w:spacing w:val="-6"/>
          <w:sz w:val="22"/>
        </w:rPr>
        <w:t> </w:t>
      </w:r>
      <w:r>
        <w:rPr>
          <w:sz w:val="22"/>
        </w:rPr>
        <w:t>no</w:t>
      </w:r>
      <w:r>
        <w:rPr>
          <w:spacing w:val="-8"/>
          <w:sz w:val="22"/>
        </w:rPr>
        <w:t> </w:t>
      </w:r>
      <w:r>
        <w:rPr>
          <w:sz w:val="22"/>
        </w:rPr>
        <w:t>presente</w:t>
      </w:r>
      <w:r>
        <w:rPr>
          <w:spacing w:val="-6"/>
          <w:sz w:val="22"/>
        </w:rPr>
        <w:t> </w:t>
      </w:r>
      <w:r>
        <w:rPr>
          <w:sz w:val="22"/>
        </w:rPr>
        <w:t>acordo.</w:t>
      </w:r>
    </w:p>
    <w:p>
      <w:pPr>
        <w:pStyle w:val="BodyText"/>
        <w:spacing w:before="11"/>
        <w:ind w:left="0"/>
        <w:jc w:val="left"/>
        <w:rPr>
          <w:sz w:val="21"/>
        </w:rPr>
      </w:pPr>
    </w:p>
    <w:p>
      <w:pPr>
        <w:pStyle w:val="BodyText"/>
        <w:spacing w:line="268" w:lineRule="exact"/>
      </w:pPr>
      <w:r>
        <w:rPr/>
        <w:t>Artigo 3º.-Condicións máis vantaxosas.</w:t>
      </w:r>
    </w:p>
    <w:p>
      <w:pPr>
        <w:pStyle w:val="BodyText"/>
        <w:ind w:right="117"/>
      </w:pPr>
      <w:r>
        <w:rPr/>
        <w:t>As melloras establecidas en calquera outra disposición, independentemente de cal sexa o seu rango e todas aquelas situacións colectivas que, comparadas analítica e globalmente sexan superiores ás do presente convenio, serán de aplicación inmediata nel consonte o principio de norma máis favorable ou condición máis beneficiosa para os/as traballadores/as.</w:t>
      </w:r>
    </w:p>
    <w:p>
      <w:pPr>
        <w:pStyle w:val="BodyText"/>
        <w:spacing w:before="11"/>
        <w:ind w:left="0"/>
        <w:jc w:val="left"/>
        <w:rPr>
          <w:sz w:val="21"/>
        </w:rPr>
      </w:pPr>
    </w:p>
    <w:p>
      <w:pPr>
        <w:pStyle w:val="BodyText"/>
        <w:spacing w:line="268" w:lineRule="exact"/>
      </w:pPr>
      <w:r>
        <w:rPr/>
        <w:t>Artigo 4º.-Irrenunciabilidade.</w:t>
      </w:r>
    </w:p>
    <w:p>
      <w:pPr>
        <w:pStyle w:val="BodyText"/>
        <w:ind w:right="126"/>
      </w:pPr>
      <w:r>
        <w:rPr/>
        <w:t>Terase por nula, entendéndose non feita, a renuncia por parte dos/as traballadores/as a calquera dos beneficios establecidos neste acordo. Así mesmo, será nulo para tódolos efectos calquera outro acordo, resolución ou cláusula que implique condición menos beneficiosa para os/as traballadores/as que as recollidas neste.</w:t>
      </w:r>
    </w:p>
    <w:p>
      <w:pPr>
        <w:pStyle w:val="BodyText"/>
        <w:spacing w:before="2"/>
        <w:ind w:left="0"/>
        <w:jc w:val="left"/>
      </w:pPr>
    </w:p>
    <w:p>
      <w:pPr>
        <w:pStyle w:val="BodyText"/>
        <w:spacing w:before="1"/>
      </w:pPr>
      <w:r>
        <w:rPr/>
        <w:t>Artigo 5º.-Órgano de control e interpretación.</w:t>
      </w:r>
    </w:p>
    <w:p>
      <w:pPr>
        <w:pStyle w:val="BodyText"/>
        <w:ind w:right="121"/>
      </w:pPr>
      <w:r>
        <w:rPr/>
        <w:t>Dentro dos quince días seguintes ó de publicación do presente acordo no BOP, constituirase unha comisión paritaria mixta que terá como finalidade o control, seguimento e interpretación deste. Estará formada por parte da corporación por dous dos seus membros, e por parte dos/as traballadores/as polo delegado de persoal e outro funcionario nomeado pola mesma representación</w:t>
      </w:r>
      <w:r>
        <w:rPr>
          <w:spacing w:val="-14"/>
        </w:rPr>
        <w:t> </w:t>
      </w:r>
      <w:r>
        <w:rPr/>
        <w:t>sindical.</w:t>
      </w:r>
    </w:p>
    <w:p>
      <w:pPr>
        <w:pStyle w:val="BodyText"/>
        <w:spacing w:before="2"/>
        <w:ind w:left="0"/>
        <w:jc w:val="left"/>
      </w:pPr>
    </w:p>
    <w:p>
      <w:pPr>
        <w:pStyle w:val="BodyText"/>
        <w:spacing w:line="268" w:lineRule="exact" w:before="1"/>
      </w:pPr>
      <w:r>
        <w:rPr/>
        <w:t>Artigo 6º.-Publicidade.</w:t>
      </w:r>
    </w:p>
    <w:p>
      <w:pPr>
        <w:pStyle w:val="ListParagraph"/>
        <w:numPr>
          <w:ilvl w:val="0"/>
          <w:numId w:val="2"/>
        </w:numPr>
        <w:tabs>
          <w:tab w:pos="373" w:val="left" w:leader="none"/>
        </w:tabs>
        <w:spacing w:line="240" w:lineRule="auto" w:before="0" w:after="0"/>
        <w:ind w:left="100" w:right="118" w:firstLine="0"/>
        <w:jc w:val="both"/>
        <w:rPr>
          <w:sz w:val="22"/>
        </w:rPr>
      </w:pPr>
      <w:r>
        <w:rPr>
          <w:sz w:val="22"/>
        </w:rPr>
        <w:t>O presente acordo remitirase á oficina pública a que fai referencia a Lei 11/1985, de liberdade sindical, e será publicado integramente no BOP inmediatamente despois da súa aprobación polo Pleno</w:t>
      </w:r>
      <w:r>
        <w:rPr>
          <w:spacing w:val="-18"/>
          <w:sz w:val="22"/>
        </w:rPr>
        <w:t> </w:t>
      </w:r>
      <w:r>
        <w:rPr>
          <w:sz w:val="22"/>
        </w:rPr>
        <w:t>municipal.</w:t>
      </w:r>
    </w:p>
    <w:p>
      <w:pPr>
        <w:spacing w:after="0" w:line="240" w:lineRule="auto"/>
        <w:jc w:val="both"/>
        <w:rPr>
          <w:sz w:val="22"/>
        </w:rPr>
        <w:sectPr>
          <w:pgSz w:w="11910" w:h="16840"/>
          <w:pgMar w:top="1580" w:bottom="280" w:left="1600" w:right="1580"/>
        </w:sectPr>
      </w:pPr>
    </w:p>
    <w:p>
      <w:pPr>
        <w:pStyle w:val="ListParagraph"/>
        <w:numPr>
          <w:ilvl w:val="0"/>
          <w:numId w:val="2"/>
        </w:numPr>
        <w:tabs>
          <w:tab w:pos="329" w:val="left" w:leader="none"/>
        </w:tabs>
        <w:spacing w:line="240" w:lineRule="auto" w:before="39" w:after="0"/>
        <w:ind w:left="100" w:right="113" w:firstLine="0"/>
        <w:jc w:val="both"/>
        <w:rPr>
          <w:sz w:val="22"/>
        </w:rPr>
      </w:pPr>
      <w:r>
        <w:rPr>
          <w:sz w:val="22"/>
        </w:rPr>
        <w:t>Facilitaráselles unha copia a todos/as e cada un/unha dos/as traballadores/as que estean ó servicio do</w:t>
      </w:r>
      <w:r>
        <w:rPr>
          <w:spacing w:val="-14"/>
          <w:sz w:val="22"/>
        </w:rPr>
        <w:t> </w:t>
      </w:r>
      <w:r>
        <w:rPr>
          <w:sz w:val="22"/>
        </w:rPr>
        <w:t>concello.</w:t>
      </w:r>
    </w:p>
    <w:p>
      <w:pPr>
        <w:pStyle w:val="BodyText"/>
        <w:spacing w:before="2"/>
        <w:ind w:left="0"/>
        <w:jc w:val="left"/>
      </w:pPr>
    </w:p>
    <w:p>
      <w:pPr>
        <w:pStyle w:val="BodyText"/>
        <w:spacing w:before="1"/>
      </w:pPr>
      <w:r>
        <w:rPr/>
        <w:t>Capítulo II</w:t>
      </w:r>
    </w:p>
    <w:p>
      <w:pPr>
        <w:pStyle w:val="BodyText"/>
        <w:spacing w:before="10"/>
        <w:ind w:left="0"/>
        <w:jc w:val="left"/>
        <w:rPr>
          <w:sz w:val="21"/>
        </w:rPr>
      </w:pPr>
    </w:p>
    <w:p>
      <w:pPr>
        <w:pStyle w:val="BodyText"/>
        <w:spacing w:before="1"/>
      </w:pPr>
      <w:r>
        <w:rPr/>
        <w:t>Organización do traballo</w:t>
      </w:r>
    </w:p>
    <w:p>
      <w:pPr>
        <w:pStyle w:val="BodyText"/>
        <w:spacing w:before="11"/>
        <w:ind w:left="0"/>
        <w:jc w:val="left"/>
        <w:rPr>
          <w:sz w:val="21"/>
        </w:rPr>
      </w:pPr>
    </w:p>
    <w:p>
      <w:pPr>
        <w:pStyle w:val="BodyText"/>
        <w:spacing w:line="268" w:lineRule="exact"/>
      </w:pPr>
      <w:r>
        <w:rPr/>
        <w:t>Artigo 7º.-A organización do traballo.</w:t>
      </w:r>
    </w:p>
    <w:p>
      <w:pPr>
        <w:pStyle w:val="BodyText"/>
        <w:ind w:right="109"/>
      </w:pPr>
      <w:r>
        <w:rPr/>
        <w:t>A organización do traballo e a súa aplicación práctica é facultade da Administración municipal que, en todo caso, respectará os principios de racionalidade, economía e eficacia.</w:t>
      </w:r>
    </w:p>
    <w:p>
      <w:pPr>
        <w:pStyle w:val="BodyText"/>
        <w:spacing w:before="3"/>
        <w:ind w:right="104"/>
      </w:pPr>
      <w:r>
        <w:rPr/>
        <w:t>Procederá a obriga de consulta e negociación previa coa representación dos/as traballadores/as cando as decisións que se vaian tomar repercutan directa ou indirectamente sobre as condicións de traballo do persoal ó servicio do concello.</w:t>
      </w:r>
    </w:p>
    <w:p>
      <w:pPr>
        <w:pStyle w:val="BodyText"/>
        <w:spacing w:before="11"/>
        <w:ind w:left="0"/>
        <w:jc w:val="left"/>
        <w:rPr>
          <w:sz w:val="21"/>
        </w:rPr>
      </w:pPr>
    </w:p>
    <w:p>
      <w:pPr>
        <w:pStyle w:val="BodyText"/>
      </w:pPr>
      <w:r>
        <w:rPr/>
        <w:t>Artigo 8º.-Racionalización do traballo.</w:t>
      </w:r>
    </w:p>
    <w:p>
      <w:pPr>
        <w:pStyle w:val="BodyText"/>
        <w:spacing w:line="268" w:lineRule="exact"/>
      </w:pPr>
      <w:r>
        <w:rPr/>
        <w:t>A racionalización do traballo terá, entre outras, as seguintes finalidades:</w:t>
      </w:r>
    </w:p>
    <w:p>
      <w:pPr>
        <w:pStyle w:val="ListParagraph"/>
        <w:numPr>
          <w:ilvl w:val="0"/>
          <w:numId w:val="3"/>
        </w:numPr>
        <w:tabs>
          <w:tab w:pos="317" w:val="left" w:leader="none"/>
        </w:tabs>
        <w:spacing w:line="240" w:lineRule="auto" w:before="0" w:after="0"/>
        <w:ind w:left="100" w:right="0" w:firstLine="0"/>
        <w:jc w:val="both"/>
        <w:rPr>
          <w:sz w:val="22"/>
        </w:rPr>
      </w:pPr>
      <w:r>
        <w:rPr>
          <w:sz w:val="22"/>
        </w:rPr>
        <w:t>A mellora das prestacións do servicio ós/ás</w:t>
      </w:r>
      <w:r>
        <w:rPr>
          <w:spacing w:val="-32"/>
          <w:sz w:val="22"/>
        </w:rPr>
        <w:t> </w:t>
      </w:r>
      <w:r>
        <w:rPr>
          <w:sz w:val="22"/>
        </w:rPr>
        <w:t>cidadáns.</w:t>
      </w:r>
    </w:p>
    <w:p>
      <w:pPr>
        <w:pStyle w:val="ListParagraph"/>
        <w:numPr>
          <w:ilvl w:val="0"/>
          <w:numId w:val="3"/>
        </w:numPr>
        <w:tabs>
          <w:tab w:pos="317" w:val="left" w:leader="none"/>
        </w:tabs>
        <w:spacing w:line="268" w:lineRule="exact" w:before="3" w:after="0"/>
        <w:ind w:left="316" w:right="0" w:hanging="216"/>
        <w:jc w:val="both"/>
        <w:rPr>
          <w:sz w:val="22"/>
        </w:rPr>
      </w:pPr>
      <w:r>
        <w:rPr>
          <w:sz w:val="22"/>
        </w:rPr>
        <w:t>A</w:t>
      </w:r>
      <w:r>
        <w:rPr>
          <w:spacing w:val="-5"/>
          <w:sz w:val="22"/>
        </w:rPr>
        <w:t> </w:t>
      </w:r>
      <w:r>
        <w:rPr>
          <w:sz w:val="22"/>
        </w:rPr>
        <w:t>simplificación</w:t>
      </w:r>
      <w:r>
        <w:rPr>
          <w:spacing w:val="-5"/>
          <w:sz w:val="22"/>
        </w:rPr>
        <w:t> </w:t>
      </w:r>
      <w:r>
        <w:rPr>
          <w:sz w:val="22"/>
        </w:rPr>
        <w:t>do</w:t>
      </w:r>
      <w:r>
        <w:rPr>
          <w:spacing w:val="-5"/>
          <w:sz w:val="22"/>
        </w:rPr>
        <w:t> </w:t>
      </w:r>
      <w:r>
        <w:rPr>
          <w:sz w:val="22"/>
        </w:rPr>
        <w:t>traballo</w:t>
      </w:r>
      <w:r>
        <w:rPr>
          <w:spacing w:val="-5"/>
          <w:sz w:val="22"/>
        </w:rPr>
        <w:t> </w:t>
      </w:r>
      <w:r>
        <w:rPr>
          <w:sz w:val="22"/>
        </w:rPr>
        <w:t>e</w:t>
      </w:r>
      <w:r>
        <w:rPr>
          <w:spacing w:val="-3"/>
          <w:sz w:val="22"/>
        </w:rPr>
        <w:t> </w:t>
      </w:r>
      <w:r>
        <w:rPr>
          <w:sz w:val="22"/>
        </w:rPr>
        <w:t>a</w:t>
      </w:r>
      <w:r>
        <w:rPr>
          <w:spacing w:val="-3"/>
          <w:sz w:val="22"/>
        </w:rPr>
        <w:t> </w:t>
      </w:r>
      <w:r>
        <w:rPr>
          <w:sz w:val="22"/>
        </w:rPr>
        <w:t>mellora</w:t>
      </w:r>
      <w:r>
        <w:rPr>
          <w:spacing w:val="-7"/>
          <w:sz w:val="22"/>
        </w:rPr>
        <w:t> </w:t>
      </w:r>
      <w:r>
        <w:rPr>
          <w:sz w:val="22"/>
        </w:rPr>
        <w:t>de</w:t>
      </w:r>
      <w:r>
        <w:rPr>
          <w:spacing w:val="1"/>
          <w:sz w:val="22"/>
        </w:rPr>
        <w:t> </w:t>
      </w:r>
      <w:r>
        <w:rPr>
          <w:sz w:val="22"/>
        </w:rPr>
        <w:t>métodos</w:t>
      </w:r>
      <w:r>
        <w:rPr>
          <w:spacing w:val="-3"/>
          <w:sz w:val="22"/>
        </w:rPr>
        <w:t> </w:t>
      </w:r>
      <w:r>
        <w:rPr>
          <w:sz w:val="22"/>
        </w:rPr>
        <w:t>e</w:t>
      </w:r>
      <w:r>
        <w:rPr>
          <w:spacing w:val="-7"/>
          <w:sz w:val="22"/>
        </w:rPr>
        <w:t> </w:t>
      </w:r>
      <w:r>
        <w:rPr>
          <w:sz w:val="22"/>
        </w:rPr>
        <w:t>procesos</w:t>
      </w:r>
      <w:r>
        <w:rPr>
          <w:spacing w:val="-4"/>
          <w:sz w:val="22"/>
        </w:rPr>
        <w:t> </w:t>
      </w:r>
      <w:r>
        <w:rPr>
          <w:sz w:val="22"/>
        </w:rPr>
        <w:t>administrativos</w:t>
      </w:r>
      <w:r>
        <w:rPr>
          <w:spacing w:val="-3"/>
          <w:sz w:val="22"/>
        </w:rPr>
        <w:t> </w:t>
      </w:r>
      <w:r>
        <w:rPr>
          <w:sz w:val="22"/>
        </w:rPr>
        <w:t>e</w:t>
      </w:r>
      <w:r>
        <w:rPr>
          <w:spacing w:val="-7"/>
          <w:sz w:val="22"/>
        </w:rPr>
        <w:t> </w:t>
      </w:r>
      <w:r>
        <w:rPr>
          <w:sz w:val="22"/>
        </w:rPr>
        <w:t>técnicos.</w:t>
      </w:r>
    </w:p>
    <w:p>
      <w:pPr>
        <w:pStyle w:val="ListParagraph"/>
        <w:numPr>
          <w:ilvl w:val="0"/>
          <w:numId w:val="3"/>
        </w:numPr>
        <w:tabs>
          <w:tab w:pos="341" w:val="left" w:leader="none"/>
        </w:tabs>
        <w:spacing w:line="240" w:lineRule="auto" w:before="0" w:after="0"/>
        <w:ind w:left="100" w:right="113" w:firstLine="0"/>
        <w:jc w:val="both"/>
        <w:rPr>
          <w:sz w:val="22"/>
        </w:rPr>
      </w:pPr>
      <w:r>
        <w:rPr>
          <w:sz w:val="22"/>
        </w:rPr>
        <w:t>A descrición, clasificación e valoración clara e obxectiva da relación de postos de traballo, determinando,</w:t>
      </w:r>
      <w:r>
        <w:rPr>
          <w:spacing w:val="-5"/>
          <w:sz w:val="22"/>
        </w:rPr>
        <w:t> </w:t>
      </w:r>
      <w:r>
        <w:rPr>
          <w:sz w:val="22"/>
        </w:rPr>
        <w:t>así</w:t>
      </w:r>
      <w:r>
        <w:rPr>
          <w:spacing w:val="-5"/>
          <w:sz w:val="22"/>
        </w:rPr>
        <w:t> </w:t>
      </w:r>
      <w:r>
        <w:rPr>
          <w:sz w:val="22"/>
        </w:rPr>
        <w:t>mesmo,</w:t>
      </w:r>
      <w:r>
        <w:rPr>
          <w:spacing w:val="-5"/>
          <w:sz w:val="22"/>
        </w:rPr>
        <w:t> </w:t>
      </w:r>
      <w:r>
        <w:rPr>
          <w:sz w:val="22"/>
        </w:rPr>
        <w:t>as</w:t>
      </w:r>
      <w:r>
        <w:rPr>
          <w:spacing w:val="-1"/>
          <w:sz w:val="22"/>
        </w:rPr>
        <w:t> </w:t>
      </w:r>
      <w:r>
        <w:rPr>
          <w:sz w:val="22"/>
        </w:rPr>
        <w:t>tarefas</w:t>
      </w:r>
      <w:r>
        <w:rPr>
          <w:spacing w:val="-5"/>
          <w:sz w:val="22"/>
        </w:rPr>
        <w:t> </w:t>
      </w:r>
      <w:r>
        <w:rPr>
          <w:sz w:val="22"/>
        </w:rPr>
        <w:t>que</w:t>
      </w:r>
      <w:r>
        <w:rPr>
          <w:spacing w:val="-7"/>
          <w:sz w:val="22"/>
        </w:rPr>
        <w:t> </w:t>
      </w:r>
      <w:r>
        <w:rPr>
          <w:sz w:val="22"/>
        </w:rPr>
        <w:t>se</w:t>
      </w:r>
      <w:r>
        <w:rPr>
          <w:spacing w:val="-4"/>
          <w:sz w:val="22"/>
        </w:rPr>
        <w:t> </w:t>
      </w:r>
      <w:r>
        <w:rPr>
          <w:sz w:val="22"/>
        </w:rPr>
        <w:t>desenvolverán</w:t>
      </w:r>
      <w:r>
        <w:rPr>
          <w:spacing w:val="-6"/>
          <w:sz w:val="22"/>
        </w:rPr>
        <w:t> </w:t>
      </w:r>
      <w:r>
        <w:rPr>
          <w:sz w:val="22"/>
        </w:rPr>
        <w:t>en</w:t>
      </w:r>
      <w:r>
        <w:rPr>
          <w:spacing w:val="-2"/>
          <w:sz w:val="22"/>
        </w:rPr>
        <w:t> </w:t>
      </w:r>
      <w:r>
        <w:rPr>
          <w:sz w:val="22"/>
        </w:rPr>
        <w:t>cada</w:t>
      </w:r>
      <w:r>
        <w:rPr>
          <w:spacing w:val="-3"/>
          <w:sz w:val="22"/>
        </w:rPr>
        <w:t> </w:t>
      </w:r>
      <w:r>
        <w:rPr>
          <w:sz w:val="22"/>
        </w:rPr>
        <w:t>un</w:t>
      </w:r>
      <w:r>
        <w:rPr>
          <w:spacing w:val="-5"/>
          <w:sz w:val="22"/>
        </w:rPr>
        <w:t> </w:t>
      </w:r>
      <w:r>
        <w:rPr>
          <w:sz w:val="22"/>
        </w:rPr>
        <w:t>deles.</w:t>
      </w:r>
    </w:p>
    <w:p>
      <w:pPr>
        <w:pStyle w:val="ListParagraph"/>
        <w:numPr>
          <w:ilvl w:val="0"/>
          <w:numId w:val="3"/>
        </w:numPr>
        <w:tabs>
          <w:tab w:pos="353" w:val="left" w:leader="none"/>
        </w:tabs>
        <w:spacing w:line="240" w:lineRule="auto" w:before="0" w:after="0"/>
        <w:ind w:left="100" w:right="106" w:firstLine="0"/>
        <w:jc w:val="both"/>
        <w:rPr>
          <w:sz w:val="22"/>
        </w:rPr>
      </w:pPr>
      <w:r>
        <w:rPr>
          <w:sz w:val="22"/>
        </w:rPr>
        <w:t>Dentro do primeiro ano de vixencia do acordo procederase, por parte da corporación, a realizar unha catalogación dos postos de traballo na que se recollerán as asignacións e tarefas correspondentes a cada posto, en consonancia coa categoría profesional de cada un, e na que se terán en conta as disposicións de carácter xeral vixentes e aplicables </w:t>
      </w:r>
      <w:r>
        <w:rPr>
          <w:spacing w:val="-3"/>
          <w:sz w:val="22"/>
        </w:rPr>
        <w:t>ós </w:t>
      </w:r>
      <w:r>
        <w:rPr>
          <w:sz w:val="22"/>
        </w:rPr>
        <w:t>postos de carácter específico.</w:t>
      </w:r>
    </w:p>
    <w:p>
      <w:pPr>
        <w:pStyle w:val="BodyText"/>
        <w:spacing w:before="11"/>
        <w:ind w:left="0"/>
        <w:jc w:val="left"/>
        <w:rPr>
          <w:sz w:val="21"/>
        </w:rPr>
      </w:pPr>
    </w:p>
    <w:p>
      <w:pPr>
        <w:pStyle w:val="BodyText"/>
      </w:pPr>
      <w:r>
        <w:rPr/>
        <w:t>Capítulo III</w:t>
      </w:r>
    </w:p>
    <w:p>
      <w:pPr>
        <w:pStyle w:val="BodyText"/>
        <w:spacing w:line="530" w:lineRule="atLeast" w:before="6"/>
        <w:ind w:right="4968"/>
        <w:jc w:val="left"/>
      </w:pPr>
      <w:r>
        <w:rPr/>
        <w:t>Calendario, xornada e horarios laborais Artigo 9º.-Calendario.</w:t>
      </w:r>
    </w:p>
    <w:p>
      <w:pPr>
        <w:pStyle w:val="BodyText"/>
        <w:spacing w:before="3"/>
        <w:ind w:right="109"/>
      </w:pPr>
      <w:r>
        <w:rPr/>
        <w:t>O calendario laboral que rexerá para o persoal ó servicio do Concello de Cedeira será o establecido con carácter xeral polos organismos competentes da Administración central, autonómica e local. Para o ano 2000 será o que se recolle no anexo 1 do presente convenio.</w:t>
      </w:r>
    </w:p>
    <w:p>
      <w:pPr>
        <w:pStyle w:val="BodyText"/>
        <w:spacing w:before="11"/>
        <w:ind w:left="0"/>
        <w:jc w:val="left"/>
        <w:rPr>
          <w:sz w:val="21"/>
        </w:rPr>
      </w:pPr>
    </w:p>
    <w:p>
      <w:pPr>
        <w:pStyle w:val="BodyText"/>
        <w:spacing w:line="268" w:lineRule="exact"/>
      </w:pPr>
      <w:r>
        <w:rPr/>
        <w:t>Artigo 10º.-Xornada.</w:t>
      </w:r>
    </w:p>
    <w:p>
      <w:pPr>
        <w:pStyle w:val="BodyText"/>
        <w:ind w:right="111"/>
      </w:pPr>
      <w:r>
        <w:rPr/>
        <w:t>A xornada laboral para o persoal do concello terá unha duración de 37,5 horas efectivas semanais.</w:t>
      </w:r>
    </w:p>
    <w:p>
      <w:pPr>
        <w:pStyle w:val="ListParagraph"/>
        <w:numPr>
          <w:ilvl w:val="0"/>
          <w:numId w:val="4"/>
        </w:numPr>
        <w:tabs>
          <w:tab w:pos="345" w:val="left" w:leader="none"/>
        </w:tabs>
        <w:spacing w:line="240" w:lineRule="auto" w:before="3" w:after="0"/>
        <w:ind w:left="100" w:right="105" w:firstLine="0"/>
        <w:jc w:val="both"/>
        <w:rPr>
          <w:sz w:val="22"/>
        </w:rPr>
      </w:pPr>
      <w:r>
        <w:rPr>
          <w:sz w:val="22"/>
        </w:rPr>
        <w:t>Tódolos/as traballadores/as disporán dun período de descanso de 20 minutos diarios con carácter xeral, dentro da xornada de traballo e acomodándoo ás necesidades do servicio, computándose como traballo efectivo, que se desfrutarán antes das 11.30 ou das 19.30 segundo</w:t>
      </w:r>
      <w:r>
        <w:rPr>
          <w:spacing w:val="-4"/>
          <w:sz w:val="22"/>
        </w:rPr>
        <w:t> </w:t>
      </w:r>
      <w:r>
        <w:rPr>
          <w:sz w:val="22"/>
        </w:rPr>
        <w:t>sexan</w:t>
      </w:r>
      <w:r>
        <w:rPr>
          <w:spacing w:val="-4"/>
          <w:sz w:val="22"/>
        </w:rPr>
        <w:t> </w:t>
      </w:r>
      <w:r>
        <w:rPr>
          <w:sz w:val="22"/>
        </w:rPr>
        <w:t>as</w:t>
      </w:r>
      <w:r>
        <w:rPr>
          <w:spacing w:val="-3"/>
          <w:sz w:val="22"/>
        </w:rPr>
        <w:t> </w:t>
      </w:r>
      <w:r>
        <w:rPr>
          <w:sz w:val="22"/>
        </w:rPr>
        <w:t>quendas</w:t>
      </w:r>
      <w:r>
        <w:rPr>
          <w:spacing w:val="-3"/>
          <w:sz w:val="22"/>
        </w:rPr>
        <w:t> </w:t>
      </w:r>
      <w:r>
        <w:rPr>
          <w:sz w:val="22"/>
        </w:rPr>
        <w:t>de</w:t>
      </w:r>
      <w:r>
        <w:rPr>
          <w:spacing w:val="-3"/>
          <w:sz w:val="22"/>
        </w:rPr>
        <w:t> </w:t>
      </w:r>
      <w:r>
        <w:rPr>
          <w:sz w:val="22"/>
        </w:rPr>
        <w:t>traballo</w:t>
      </w:r>
      <w:r>
        <w:rPr>
          <w:spacing w:val="-4"/>
          <w:sz w:val="22"/>
        </w:rPr>
        <w:t> </w:t>
      </w:r>
      <w:r>
        <w:rPr>
          <w:sz w:val="22"/>
        </w:rPr>
        <w:t>de</w:t>
      </w:r>
      <w:r>
        <w:rPr>
          <w:spacing w:val="-5"/>
          <w:sz w:val="22"/>
        </w:rPr>
        <w:t> </w:t>
      </w:r>
      <w:r>
        <w:rPr>
          <w:sz w:val="22"/>
        </w:rPr>
        <w:t>mañá</w:t>
      </w:r>
      <w:r>
        <w:rPr>
          <w:spacing w:val="-5"/>
          <w:sz w:val="22"/>
        </w:rPr>
        <w:t> </w:t>
      </w:r>
      <w:r>
        <w:rPr>
          <w:sz w:val="22"/>
        </w:rPr>
        <w:t>ou</w:t>
      </w:r>
      <w:r>
        <w:rPr>
          <w:spacing w:val="-4"/>
          <w:sz w:val="22"/>
        </w:rPr>
        <w:t> </w:t>
      </w:r>
      <w:r>
        <w:rPr>
          <w:sz w:val="22"/>
        </w:rPr>
        <w:t>de</w:t>
      </w:r>
      <w:r>
        <w:rPr>
          <w:spacing w:val="-3"/>
          <w:sz w:val="22"/>
        </w:rPr>
        <w:t> </w:t>
      </w:r>
      <w:r>
        <w:rPr>
          <w:sz w:val="22"/>
        </w:rPr>
        <w:t>tarde.</w:t>
      </w:r>
    </w:p>
    <w:p>
      <w:pPr>
        <w:pStyle w:val="ListParagraph"/>
        <w:numPr>
          <w:ilvl w:val="0"/>
          <w:numId w:val="4"/>
        </w:numPr>
        <w:tabs>
          <w:tab w:pos="333" w:val="left" w:leader="none"/>
        </w:tabs>
        <w:spacing w:line="240" w:lineRule="auto" w:before="0" w:after="0"/>
        <w:ind w:left="100" w:right="106" w:firstLine="0"/>
        <w:jc w:val="both"/>
        <w:rPr>
          <w:sz w:val="22"/>
        </w:rPr>
      </w:pPr>
      <w:r>
        <w:rPr>
          <w:sz w:val="22"/>
        </w:rPr>
        <w:t>Computarase como tempo de traballo efectivo o estrictamente necesario para vestirse con roupa de traballo, recoller, gardar ou ordena-la roupa, uniformes, materiais, ferramentas e demais útiles de traballo. En calquera caso, o tempo empregado en cambiarse de roupa non será superior a 7</w:t>
      </w:r>
      <w:r>
        <w:rPr>
          <w:spacing w:val="-13"/>
          <w:sz w:val="22"/>
        </w:rPr>
        <w:t> </w:t>
      </w:r>
      <w:r>
        <w:rPr>
          <w:sz w:val="22"/>
        </w:rPr>
        <w:t>minutos.</w:t>
      </w:r>
    </w:p>
    <w:p>
      <w:pPr>
        <w:pStyle w:val="ListParagraph"/>
        <w:numPr>
          <w:ilvl w:val="0"/>
          <w:numId w:val="4"/>
        </w:numPr>
        <w:tabs>
          <w:tab w:pos="325" w:val="left" w:leader="none"/>
        </w:tabs>
        <w:spacing w:line="240" w:lineRule="auto" w:before="3" w:after="0"/>
        <w:ind w:left="100" w:right="103" w:firstLine="0"/>
        <w:jc w:val="both"/>
        <w:rPr>
          <w:sz w:val="22"/>
        </w:rPr>
      </w:pPr>
      <w:r>
        <w:rPr>
          <w:sz w:val="22"/>
        </w:rPr>
        <w:t>Entenderanse comprendidos dentro da xornada laboral ordinaria os tempos empregados en pausas regulamentarias, desprazamentos e outras interrupcións derivadas do cumprimento das</w:t>
      </w:r>
      <w:r>
        <w:rPr>
          <w:spacing w:val="-4"/>
          <w:sz w:val="22"/>
        </w:rPr>
        <w:t> </w:t>
      </w:r>
      <w:r>
        <w:rPr>
          <w:sz w:val="22"/>
        </w:rPr>
        <w:t>normas</w:t>
      </w:r>
      <w:r>
        <w:rPr>
          <w:spacing w:val="-4"/>
          <w:sz w:val="22"/>
        </w:rPr>
        <w:t> </w:t>
      </w:r>
      <w:r>
        <w:rPr>
          <w:sz w:val="22"/>
        </w:rPr>
        <w:t>de</w:t>
      </w:r>
      <w:r>
        <w:rPr>
          <w:spacing w:val="-6"/>
          <w:sz w:val="22"/>
        </w:rPr>
        <w:t> </w:t>
      </w:r>
      <w:r>
        <w:rPr>
          <w:sz w:val="22"/>
        </w:rPr>
        <w:t>seguridade</w:t>
      </w:r>
      <w:r>
        <w:rPr>
          <w:spacing w:val="-3"/>
          <w:sz w:val="22"/>
        </w:rPr>
        <w:t> </w:t>
      </w:r>
      <w:r>
        <w:rPr>
          <w:sz w:val="22"/>
        </w:rPr>
        <w:t>e</w:t>
      </w:r>
      <w:r>
        <w:rPr>
          <w:spacing w:val="-7"/>
          <w:sz w:val="22"/>
        </w:rPr>
        <w:t> </w:t>
      </w:r>
      <w:r>
        <w:rPr>
          <w:sz w:val="22"/>
        </w:rPr>
        <w:t>hixiene</w:t>
      </w:r>
      <w:r>
        <w:rPr>
          <w:spacing w:val="-6"/>
          <w:sz w:val="22"/>
        </w:rPr>
        <w:t> </w:t>
      </w:r>
      <w:r>
        <w:rPr>
          <w:sz w:val="22"/>
        </w:rPr>
        <w:t>ou</w:t>
      </w:r>
      <w:r>
        <w:rPr>
          <w:spacing w:val="-1"/>
          <w:sz w:val="22"/>
        </w:rPr>
        <w:t> </w:t>
      </w:r>
      <w:r>
        <w:rPr>
          <w:sz w:val="22"/>
        </w:rPr>
        <w:t>da</w:t>
      </w:r>
      <w:r>
        <w:rPr>
          <w:spacing w:val="-6"/>
          <w:sz w:val="22"/>
        </w:rPr>
        <w:t> </w:t>
      </w:r>
      <w:r>
        <w:rPr>
          <w:sz w:val="22"/>
        </w:rPr>
        <w:t>propia</w:t>
      </w:r>
      <w:r>
        <w:rPr>
          <w:spacing w:val="-7"/>
          <w:sz w:val="22"/>
        </w:rPr>
        <w:t> </w:t>
      </w:r>
      <w:r>
        <w:rPr>
          <w:sz w:val="22"/>
        </w:rPr>
        <w:t>organización</w:t>
      </w:r>
      <w:r>
        <w:rPr>
          <w:spacing w:val="-5"/>
          <w:sz w:val="22"/>
        </w:rPr>
        <w:t> </w:t>
      </w:r>
      <w:r>
        <w:rPr>
          <w:sz w:val="22"/>
        </w:rPr>
        <w:t>do</w:t>
      </w:r>
      <w:r>
        <w:rPr>
          <w:spacing w:val="-5"/>
          <w:sz w:val="22"/>
        </w:rPr>
        <w:t> </w:t>
      </w:r>
      <w:r>
        <w:rPr>
          <w:sz w:val="22"/>
        </w:rPr>
        <w:t>traballo.</w:t>
      </w:r>
    </w:p>
    <w:p>
      <w:pPr>
        <w:pStyle w:val="BodyText"/>
        <w:spacing w:before="11"/>
        <w:ind w:left="0"/>
        <w:jc w:val="left"/>
        <w:rPr>
          <w:sz w:val="21"/>
        </w:rPr>
      </w:pPr>
    </w:p>
    <w:p>
      <w:pPr>
        <w:pStyle w:val="BodyText"/>
      </w:pPr>
      <w:r>
        <w:rPr/>
        <w:t>Artigo 11º.-Horarios.</w:t>
      </w:r>
    </w:p>
    <w:p>
      <w:pPr>
        <w:spacing w:after="0"/>
        <w:sectPr>
          <w:pgSz w:w="11910" w:h="16840"/>
          <w:pgMar w:top="1360" w:bottom="280" w:left="1600" w:right="1600"/>
        </w:sectPr>
      </w:pPr>
    </w:p>
    <w:p>
      <w:pPr>
        <w:pStyle w:val="ListParagraph"/>
        <w:numPr>
          <w:ilvl w:val="0"/>
          <w:numId w:val="5"/>
        </w:numPr>
        <w:tabs>
          <w:tab w:pos="321" w:val="left" w:leader="none"/>
        </w:tabs>
        <w:spacing w:line="240" w:lineRule="auto" w:before="39" w:after="0"/>
        <w:ind w:left="100" w:right="115" w:firstLine="0"/>
        <w:jc w:val="both"/>
        <w:rPr>
          <w:sz w:val="22"/>
        </w:rPr>
      </w:pPr>
      <w:r>
        <w:rPr>
          <w:sz w:val="22"/>
        </w:rPr>
        <w:t>Naqueles servicios municipais en que, pola natureza da súa actividade, se teña que organiza- lo seu traballo en réxime de quendas ou non admitan o tratamento común en canto a calendario laboral, elaborarase o seu respectivo calendario baixo os principios de igualdade, rotación e non discriminación entre os traballadores/as, con independencia do  cargo  que ocupe cada</w:t>
      </w:r>
      <w:r>
        <w:rPr>
          <w:spacing w:val="-13"/>
          <w:sz w:val="22"/>
        </w:rPr>
        <w:t> </w:t>
      </w:r>
      <w:r>
        <w:rPr>
          <w:sz w:val="22"/>
        </w:rPr>
        <w:t>un.</w:t>
      </w:r>
    </w:p>
    <w:p>
      <w:pPr>
        <w:pStyle w:val="ListParagraph"/>
        <w:numPr>
          <w:ilvl w:val="0"/>
          <w:numId w:val="5"/>
        </w:numPr>
        <w:tabs>
          <w:tab w:pos="325" w:val="left" w:leader="none"/>
        </w:tabs>
        <w:spacing w:line="240" w:lineRule="auto" w:before="0" w:after="0"/>
        <w:ind w:left="100" w:right="128" w:firstLine="0"/>
        <w:jc w:val="both"/>
        <w:rPr>
          <w:sz w:val="22"/>
        </w:rPr>
      </w:pPr>
      <w:r>
        <w:rPr>
          <w:sz w:val="22"/>
        </w:rPr>
        <w:t>Nos servicios nos que as actividades se desenvolvan en domingos, festivos, horas nocturnas ou en condicións de perigosidade, penosidade ou toxicidade, as xornadas realizadas nas ditas circunstancias deberán ser repartidas equitativamente entre tódolos/as traballadores/as adscritos ó</w:t>
      </w:r>
      <w:r>
        <w:rPr>
          <w:spacing w:val="-13"/>
          <w:sz w:val="22"/>
        </w:rPr>
        <w:t> </w:t>
      </w:r>
      <w:r>
        <w:rPr>
          <w:sz w:val="22"/>
        </w:rPr>
        <w:t>servicio.</w:t>
      </w:r>
    </w:p>
    <w:p>
      <w:pPr>
        <w:pStyle w:val="ListParagraph"/>
        <w:numPr>
          <w:ilvl w:val="0"/>
          <w:numId w:val="5"/>
        </w:numPr>
        <w:tabs>
          <w:tab w:pos="365" w:val="left" w:leader="none"/>
        </w:tabs>
        <w:spacing w:line="242" w:lineRule="auto" w:before="0" w:after="0"/>
        <w:ind w:left="100" w:right="119" w:firstLine="0"/>
        <w:jc w:val="both"/>
        <w:rPr>
          <w:sz w:val="22"/>
        </w:rPr>
      </w:pPr>
      <w:r>
        <w:rPr>
          <w:sz w:val="22"/>
        </w:rPr>
        <w:t>Os calendarios das quendas elaboraranse anualmente e expoñeranse nos taboleiros de anuncios</w:t>
      </w:r>
      <w:r>
        <w:rPr>
          <w:spacing w:val="-4"/>
          <w:sz w:val="22"/>
        </w:rPr>
        <w:t> </w:t>
      </w:r>
      <w:r>
        <w:rPr>
          <w:sz w:val="22"/>
        </w:rPr>
        <w:t>antes</w:t>
      </w:r>
      <w:r>
        <w:rPr>
          <w:spacing w:val="-4"/>
          <w:sz w:val="22"/>
        </w:rPr>
        <w:t> </w:t>
      </w:r>
      <w:r>
        <w:rPr>
          <w:sz w:val="22"/>
        </w:rPr>
        <w:t>do</w:t>
      </w:r>
      <w:r>
        <w:rPr>
          <w:spacing w:val="-5"/>
          <w:sz w:val="22"/>
        </w:rPr>
        <w:t> </w:t>
      </w:r>
      <w:r>
        <w:rPr>
          <w:sz w:val="22"/>
        </w:rPr>
        <w:t>15</w:t>
      </w:r>
      <w:r>
        <w:rPr>
          <w:spacing w:val="-5"/>
          <w:sz w:val="22"/>
        </w:rPr>
        <w:t> </w:t>
      </w:r>
      <w:r>
        <w:rPr>
          <w:sz w:val="22"/>
        </w:rPr>
        <w:t>de</w:t>
      </w:r>
      <w:r>
        <w:rPr>
          <w:spacing w:val="-7"/>
          <w:sz w:val="22"/>
        </w:rPr>
        <w:t> </w:t>
      </w:r>
      <w:r>
        <w:rPr>
          <w:sz w:val="22"/>
        </w:rPr>
        <w:t>decembro</w:t>
      </w:r>
      <w:r>
        <w:rPr>
          <w:spacing w:val="-5"/>
          <w:sz w:val="22"/>
        </w:rPr>
        <w:t> </w:t>
      </w:r>
      <w:r>
        <w:rPr>
          <w:sz w:val="22"/>
        </w:rPr>
        <w:t>de</w:t>
      </w:r>
      <w:r>
        <w:rPr>
          <w:spacing w:val="-7"/>
          <w:sz w:val="22"/>
        </w:rPr>
        <w:t> </w:t>
      </w:r>
      <w:r>
        <w:rPr>
          <w:sz w:val="22"/>
        </w:rPr>
        <w:t>cada</w:t>
      </w:r>
      <w:r>
        <w:rPr>
          <w:spacing w:val="-2"/>
          <w:sz w:val="22"/>
        </w:rPr>
        <w:t> </w:t>
      </w:r>
      <w:r>
        <w:rPr>
          <w:sz w:val="22"/>
        </w:rPr>
        <w:t>ano,</w:t>
      </w:r>
      <w:r>
        <w:rPr>
          <w:spacing w:val="-4"/>
          <w:sz w:val="22"/>
        </w:rPr>
        <w:t> </w:t>
      </w:r>
      <w:r>
        <w:rPr>
          <w:sz w:val="22"/>
        </w:rPr>
        <w:t>correspon</w:t>
      </w:r>
    </w:p>
    <w:p>
      <w:pPr>
        <w:pStyle w:val="BodyText"/>
        <w:spacing w:line="265" w:lineRule="exact"/>
      </w:pPr>
      <w:r>
        <w:rPr/>
        <w:t>déndolle ó alcalde, como xefe do persoal, a súa elaboración.</w:t>
      </w:r>
    </w:p>
    <w:p>
      <w:pPr>
        <w:pStyle w:val="ListParagraph"/>
        <w:numPr>
          <w:ilvl w:val="0"/>
          <w:numId w:val="5"/>
        </w:numPr>
        <w:tabs>
          <w:tab w:pos="325" w:val="left" w:leader="none"/>
        </w:tabs>
        <w:spacing w:line="240" w:lineRule="auto" w:before="0" w:after="0"/>
        <w:ind w:left="100" w:right="132" w:firstLine="0"/>
        <w:jc w:val="both"/>
        <w:rPr>
          <w:sz w:val="22"/>
        </w:rPr>
      </w:pPr>
      <w:r>
        <w:rPr>
          <w:sz w:val="22"/>
        </w:rPr>
        <w:t>Na elaboración dos calendarios de franqueo do corpo da policía local garantirase o desfrute de</w:t>
      </w:r>
      <w:r>
        <w:rPr>
          <w:spacing w:val="-6"/>
          <w:sz w:val="22"/>
        </w:rPr>
        <w:t> </w:t>
      </w:r>
      <w:r>
        <w:rPr>
          <w:sz w:val="22"/>
        </w:rPr>
        <w:t>alomenos</w:t>
      </w:r>
      <w:r>
        <w:rPr>
          <w:spacing w:val="-3"/>
          <w:sz w:val="22"/>
        </w:rPr>
        <w:t> </w:t>
      </w:r>
      <w:r>
        <w:rPr>
          <w:sz w:val="22"/>
        </w:rPr>
        <w:t>dúas</w:t>
      </w:r>
      <w:r>
        <w:rPr>
          <w:spacing w:val="-4"/>
          <w:sz w:val="22"/>
        </w:rPr>
        <w:t> </w:t>
      </w:r>
      <w:r>
        <w:rPr>
          <w:sz w:val="22"/>
        </w:rPr>
        <w:t>fins</w:t>
      </w:r>
      <w:r>
        <w:rPr>
          <w:spacing w:val="-3"/>
          <w:sz w:val="22"/>
        </w:rPr>
        <w:t> </w:t>
      </w:r>
      <w:r>
        <w:rPr>
          <w:sz w:val="22"/>
        </w:rPr>
        <w:t>de</w:t>
      </w:r>
      <w:r>
        <w:rPr>
          <w:spacing w:val="-6"/>
          <w:sz w:val="22"/>
        </w:rPr>
        <w:t> </w:t>
      </w:r>
      <w:r>
        <w:rPr>
          <w:sz w:val="22"/>
        </w:rPr>
        <w:t>semana</w:t>
      </w:r>
      <w:r>
        <w:rPr>
          <w:spacing w:val="-2"/>
          <w:sz w:val="22"/>
        </w:rPr>
        <w:t> </w:t>
      </w:r>
      <w:r>
        <w:rPr>
          <w:sz w:val="22"/>
        </w:rPr>
        <w:t>(sábado</w:t>
      </w:r>
      <w:r>
        <w:rPr>
          <w:spacing w:val="-5"/>
          <w:sz w:val="22"/>
        </w:rPr>
        <w:t> </w:t>
      </w:r>
      <w:r>
        <w:rPr>
          <w:sz w:val="22"/>
        </w:rPr>
        <w:t>e</w:t>
      </w:r>
      <w:r>
        <w:rPr>
          <w:spacing w:val="1"/>
          <w:sz w:val="22"/>
        </w:rPr>
        <w:t> </w:t>
      </w:r>
      <w:r>
        <w:rPr>
          <w:sz w:val="22"/>
        </w:rPr>
        <w:t>domingo)</w:t>
      </w:r>
      <w:r>
        <w:rPr>
          <w:spacing w:val="-4"/>
          <w:sz w:val="22"/>
        </w:rPr>
        <w:t> </w:t>
      </w:r>
      <w:r>
        <w:rPr>
          <w:sz w:val="22"/>
        </w:rPr>
        <w:t>libres</w:t>
      </w:r>
      <w:r>
        <w:rPr>
          <w:spacing w:val="-4"/>
          <w:sz w:val="22"/>
        </w:rPr>
        <w:t> </w:t>
      </w:r>
      <w:r>
        <w:rPr>
          <w:sz w:val="22"/>
        </w:rPr>
        <w:t>cada</w:t>
      </w:r>
      <w:r>
        <w:rPr>
          <w:spacing w:val="-6"/>
          <w:sz w:val="22"/>
        </w:rPr>
        <w:t> </w:t>
      </w:r>
      <w:r>
        <w:rPr>
          <w:sz w:val="22"/>
        </w:rPr>
        <w:t>mes.</w:t>
      </w:r>
    </w:p>
    <w:p>
      <w:pPr>
        <w:pStyle w:val="BodyText"/>
        <w:spacing w:before="11"/>
        <w:ind w:left="0"/>
        <w:jc w:val="left"/>
        <w:rPr>
          <w:sz w:val="21"/>
        </w:rPr>
      </w:pPr>
    </w:p>
    <w:p>
      <w:pPr>
        <w:pStyle w:val="BodyText"/>
      </w:pPr>
      <w:r>
        <w:rPr/>
        <w:t>Capítulo IV</w:t>
      </w:r>
    </w:p>
    <w:p>
      <w:pPr>
        <w:pStyle w:val="BodyText"/>
        <w:spacing w:line="530" w:lineRule="atLeast" w:before="10"/>
        <w:ind w:right="5836"/>
        <w:jc w:val="left"/>
      </w:pPr>
      <w:r>
        <w:rPr/>
        <w:t>Vacacións, licencias e permisos Artigo 12º.-Vacacións.</w:t>
      </w:r>
    </w:p>
    <w:p>
      <w:pPr>
        <w:pStyle w:val="ListParagraph"/>
        <w:numPr>
          <w:ilvl w:val="0"/>
          <w:numId w:val="6"/>
        </w:numPr>
        <w:tabs>
          <w:tab w:pos="325" w:val="left" w:leader="none"/>
        </w:tabs>
        <w:spacing w:line="240" w:lineRule="auto" w:before="0" w:after="0"/>
        <w:ind w:left="100" w:right="127" w:firstLine="0"/>
        <w:jc w:val="both"/>
        <w:rPr>
          <w:sz w:val="22"/>
        </w:rPr>
      </w:pPr>
      <w:r>
        <w:rPr>
          <w:sz w:val="22"/>
        </w:rPr>
        <w:t>Os/as traballadores/as municipais terán dereito ó desfrute dun período de vacacións anuais que</w:t>
      </w:r>
      <w:r>
        <w:rPr>
          <w:spacing w:val="-9"/>
          <w:sz w:val="22"/>
        </w:rPr>
        <w:t> </w:t>
      </w:r>
      <w:r>
        <w:rPr>
          <w:sz w:val="22"/>
        </w:rPr>
        <w:t>non</w:t>
      </w:r>
      <w:r>
        <w:rPr>
          <w:spacing w:val="-6"/>
          <w:sz w:val="22"/>
        </w:rPr>
        <w:t> </w:t>
      </w:r>
      <w:r>
        <w:rPr>
          <w:sz w:val="22"/>
        </w:rPr>
        <w:t>serán</w:t>
      </w:r>
      <w:r>
        <w:rPr>
          <w:spacing w:val="-4"/>
          <w:sz w:val="22"/>
        </w:rPr>
        <w:t> </w:t>
      </w:r>
      <w:r>
        <w:rPr>
          <w:sz w:val="22"/>
        </w:rPr>
        <w:t>renunciables</w:t>
      </w:r>
      <w:r>
        <w:rPr>
          <w:spacing w:val="-6"/>
          <w:sz w:val="22"/>
        </w:rPr>
        <w:t> </w:t>
      </w:r>
      <w:r>
        <w:rPr>
          <w:sz w:val="22"/>
        </w:rPr>
        <w:t>nin</w:t>
      </w:r>
      <w:r>
        <w:rPr>
          <w:spacing w:val="-7"/>
          <w:sz w:val="22"/>
        </w:rPr>
        <w:t> </w:t>
      </w:r>
      <w:r>
        <w:rPr>
          <w:sz w:val="22"/>
        </w:rPr>
        <w:t>substituíbles</w:t>
      </w:r>
      <w:r>
        <w:rPr>
          <w:spacing w:val="-9"/>
          <w:sz w:val="22"/>
        </w:rPr>
        <w:t> </w:t>
      </w:r>
      <w:r>
        <w:rPr>
          <w:sz w:val="22"/>
        </w:rPr>
        <w:t>por</w:t>
      </w:r>
      <w:r>
        <w:rPr>
          <w:spacing w:val="-3"/>
          <w:sz w:val="22"/>
        </w:rPr>
        <w:t> </w:t>
      </w:r>
      <w:r>
        <w:rPr>
          <w:sz w:val="22"/>
        </w:rPr>
        <w:t>compensación</w:t>
      </w:r>
      <w:r>
        <w:rPr>
          <w:spacing w:val="-7"/>
          <w:sz w:val="22"/>
        </w:rPr>
        <w:t> </w:t>
      </w:r>
      <w:r>
        <w:rPr>
          <w:sz w:val="22"/>
        </w:rPr>
        <w:t>económica.</w:t>
      </w:r>
    </w:p>
    <w:p>
      <w:pPr>
        <w:pStyle w:val="BodyText"/>
        <w:ind w:right="119"/>
      </w:pPr>
      <w:r>
        <w:rPr/>
        <w:t>Terán unha duración dun mes (ou na parte proporcional se o período dos  servicios  fose inferior a un ano) e desfrutaranse preferentemente entre os meses de xuño e  setembro (ambos inclusive), salvo petición expresa do/a interesado/a para desfrutalas fóra deste período, e dependendo sempre das necesidades do servicio.</w:t>
      </w:r>
    </w:p>
    <w:p>
      <w:pPr>
        <w:pStyle w:val="ListParagraph"/>
        <w:numPr>
          <w:ilvl w:val="0"/>
          <w:numId w:val="6"/>
        </w:numPr>
        <w:tabs>
          <w:tab w:pos="341" w:val="left" w:leader="none"/>
        </w:tabs>
        <w:spacing w:line="240" w:lineRule="auto" w:before="0" w:after="0"/>
        <w:ind w:left="100" w:right="120" w:firstLine="0"/>
        <w:jc w:val="both"/>
        <w:rPr>
          <w:sz w:val="22"/>
        </w:rPr>
      </w:pPr>
      <w:r>
        <w:rPr>
          <w:sz w:val="22"/>
        </w:rPr>
        <w:t>Os calendarios de vacacións anuais exporanse nos taboleiros de anuncios de cada servicio antes do remate do mes de abril de cada ano, debendo ser oídos os órganos de representación dos funcionarios, asegurando o carácter rotatorio das quendas anuais de vacacións entre os/as diferentes</w:t>
      </w:r>
      <w:r>
        <w:rPr>
          <w:spacing w:val="-20"/>
          <w:sz w:val="22"/>
        </w:rPr>
        <w:t> </w:t>
      </w:r>
      <w:r>
        <w:rPr>
          <w:sz w:val="22"/>
        </w:rPr>
        <w:t>traballadores/as.</w:t>
      </w:r>
    </w:p>
    <w:p>
      <w:pPr>
        <w:pStyle w:val="ListParagraph"/>
        <w:numPr>
          <w:ilvl w:val="0"/>
          <w:numId w:val="6"/>
        </w:numPr>
        <w:tabs>
          <w:tab w:pos="325" w:val="left" w:leader="none"/>
        </w:tabs>
        <w:spacing w:line="240" w:lineRule="auto" w:before="0" w:after="0"/>
        <w:ind w:left="100" w:right="126" w:firstLine="0"/>
        <w:jc w:val="both"/>
        <w:rPr>
          <w:sz w:val="22"/>
        </w:rPr>
      </w:pPr>
      <w:r>
        <w:rPr>
          <w:sz w:val="22"/>
        </w:rPr>
        <w:t>No suposto de que se produza unha baixa médica con anterioridade ó inicio das vacacións e subsista no día sinalado para o seu comezo, estas suspenderanse e non se computarán como tales fixandose unha nova data consensuada entre o concello e o traballador/a afectado. As novas</w:t>
      </w:r>
      <w:r>
        <w:rPr>
          <w:spacing w:val="-6"/>
          <w:sz w:val="22"/>
        </w:rPr>
        <w:t> </w:t>
      </w:r>
      <w:r>
        <w:rPr>
          <w:sz w:val="22"/>
        </w:rPr>
        <w:t>datas</w:t>
      </w:r>
      <w:r>
        <w:rPr>
          <w:spacing w:val="-6"/>
          <w:sz w:val="22"/>
        </w:rPr>
        <w:t> </w:t>
      </w:r>
      <w:r>
        <w:rPr>
          <w:sz w:val="22"/>
        </w:rPr>
        <w:t>non</w:t>
      </w:r>
      <w:r>
        <w:rPr>
          <w:spacing w:val="-6"/>
          <w:sz w:val="22"/>
        </w:rPr>
        <w:t> </w:t>
      </w:r>
      <w:r>
        <w:rPr>
          <w:sz w:val="22"/>
        </w:rPr>
        <w:t>interferirán,</w:t>
      </w:r>
      <w:r>
        <w:rPr>
          <w:spacing w:val="-2"/>
          <w:sz w:val="22"/>
        </w:rPr>
        <w:t> </w:t>
      </w:r>
      <w:r>
        <w:rPr>
          <w:sz w:val="22"/>
        </w:rPr>
        <w:t>en</w:t>
      </w:r>
      <w:r>
        <w:rPr>
          <w:spacing w:val="-7"/>
          <w:sz w:val="22"/>
        </w:rPr>
        <w:t> </w:t>
      </w:r>
      <w:r>
        <w:rPr>
          <w:sz w:val="22"/>
        </w:rPr>
        <w:t>ningún</w:t>
      </w:r>
      <w:r>
        <w:rPr>
          <w:spacing w:val="-6"/>
          <w:sz w:val="22"/>
        </w:rPr>
        <w:t> </w:t>
      </w:r>
      <w:r>
        <w:rPr>
          <w:sz w:val="22"/>
        </w:rPr>
        <w:t>caso,</w:t>
      </w:r>
      <w:r>
        <w:rPr>
          <w:spacing w:val="-3"/>
          <w:sz w:val="22"/>
        </w:rPr>
        <w:t> </w:t>
      </w:r>
      <w:r>
        <w:rPr>
          <w:sz w:val="22"/>
        </w:rPr>
        <w:t>coas</w:t>
      </w:r>
      <w:r>
        <w:rPr>
          <w:spacing w:val="-6"/>
          <w:sz w:val="22"/>
        </w:rPr>
        <w:t> </w:t>
      </w:r>
      <w:r>
        <w:rPr>
          <w:sz w:val="22"/>
        </w:rPr>
        <w:t>vacacións</w:t>
      </w:r>
      <w:r>
        <w:rPr>
          <w:spacing w:val="-5"/>
          <w:sz w:val="22"/>
        </w:rPr>
        <w:t> </w:t>
      </w:r>
      <w:r>
        <w:rPr>
          <w:sz w:val="22"/>
        </w:rPr>
        <w:t>do</w:t>
      </w:r>
      <w:r>
        <w:rPr>
          <w:spacing w:val="-7"/>
          <w:sz w:val="22"/>
        </w:rPr>
        <w:t> </w:t>
      </w:r>
      <w:r>
        <w:rPr>
          <w:sz w:val="22"/>
        </w:rPr>
        <w:t>resto</w:t>
      </w:r>
      <w:r>
        <w:rPr>
          <w:spacing w:val="-7"/>
          <w:sz w:val="22"/>
        </w:rPr>
        <w:t> </w:t>
      </w:r>
      <w:r>
        <w:rPr>
          <w:sz w:val="22"/>
        </w:rPr>
        <w:t>dos/as</w:t>
      </w:r>
      <w:r>
        <w:rPr>
          <w:spacing w:val="-2"/>
          <w:sz w:val="22"/>
        </w:rPr>
        <w:t> </w:t>
      </w:r>
      <w:r>
        <w:rPr>
          <w:sz w:val="22"/>
        </w:rPr>
        <w:t>compañeiros/as.</w:t>
      </w:r>
    </w:p>
    <w:p>
      <w:pPr>
        <w:pStyle w:val="ListParagraph"/>
        <w:numPr>
          <w:ilvl w:val="0"/>
          <w:numId w:val="6"/>
        </w:numPr>
        <w:tabs>
          <w:tab w:pos="409" w:val="left" w:leader="none"/>
        </w:tabs>
        <w:spacing w:line="240" w:lineRule="auto" w:before="0" w:after="0"/>
        <w:ind w:left="100" w:right="120" w:firstLine="0"/>
        <w:jc w:val="both"/>
        <w:rPr>
          <w:sz w:val="22"/>
        </w:rPr>
      </w:pPr>
      <w:r>
        <w:rPr>
          <w:sz w:val="22"/>
        </w:rPr>
        <w:t>O persoal funcionario ten dereito a desfrutar, ademais das súas vacacións anuais regulamentarias e á marxe do calendario de festas establecido no artigo 9º, de nove días ó  ano, retribuídos e non recuperables, que se poderán desfrutar libremente coa única limitación de non seren acumulables ás vacacións anuais regulamentarias, debendo, en todo caso, queda-lo servicio debidamente atendido a xuízo da</w:t>
      </w:r>
      <w:r>
        <w:rPr>
          <w:spacing w:val="-34"/>
          <w:sz w:val="22"/>
        </w:rPr>
        <w:t> </w:t>
      </w:r>
      <w:r>
        <w:rPr>
          <w:sz w:val="22"/>
        </w:rPr>
        <w:t>Alcaldía.</w:t>
      </w:r>
    </w:p>
    <w:p>
      <w:pPr>
        <w:pStyle w:val="BodyText"/>
        <w:spacing w:before="11"/>
        <w:ind w:left="0"/>
        <w:jc w:val="left"/>
        <w:rPr>
          <w:sz w:val="21"/>
        </w:rPr>
      </w:pPr>
    </w:p>
    <w:p>
      <w:pPr>
        <w:pStyle w:val="BodyText"/>
      </w:pPr>
      <w:r>
        <w:rPr/>
        <w:t>Artigo 13º.-Licencias.</w:t>
      </w:r>
    </w:p>
    <w:p>
      <w:pPr>
        <w:pStyle w:val="BodyText"/>
      </w:pPr>
      <w:r>
        <w:rPr/>
        <w:t>Aplicarase o disposto na lexislación vixente sobre a materia.</w:t>
      </w:r>
    </w:p>
    <w:p>
      <w:pPr>
        <w:pStyle w:val="BodyText"/>
        <w:spacing w:before="11"/>
        <w:ind w:left="0"/>
        <w:jc w:val="left"/>
        <w:rPr>
          <w:sz w:val="21"/>
        </w:rPr>
      </w:pPr>
    </w:p>
    <w:p>
      <w:pPr>
        <w:pStyle w:val="BodyText"/>
        <w:spacing w:line="268" w:lineRule="exact"/>
      </w:pPr>
      <w:r>
        <w:rPr/>
        <w:t>Artigo 14º.-Permisos retribuídos.</w:t>
      </w:r>
    </w:p>
    <w:p>
      <w:pPr>
        <w:pStyle w:val="BodyText"/>
        <w:ind w:right="205"/>
      </w:pPr>
      <w:r>
        <w:rPr/>
        <w:t>Axustaranse</w:t>
      </w:r>
      <w:r>
        <w:rPr>
          <w:spacing w:val="-6"/>
        </w:rPr>
        <w:t> </w:t>
      </w:r>
      <w:r>
        <w:rPr/>
        <w:t>ó</w:t>
      </w:r>
      <w:r>
        <w:rPr>
          <w:spacing w:val="-4"/>
        </w:rPr>
        <w:t> </w:t>
      </w:r>
      <w:r>
        <w:rPr/>
        <w:t>disposto</w:t>
      </w:r>
      <w:r>
        <w:rPr>
          <w:spacing w:val="-4"/>
        </w:rPr>
        <w:t> </w:t>
      </w:r>
      <w:r>
        <w:rPr/>
        <w:t>na</w:t>
      </w:r>
      <w:r>
        <w:rPr>
          <w:spacing w:val="-5"/>
        </w:rPr>
        <w:t> </w:t>
      </w:r>
      <w:r>
        <w:rPr/>
        <w:t>lexislación</w:t>
      </w:r>
      <w:r>
        <w:rPr>
          <w:spacing w:val="-4"/>
        </w:rPr>
        <w:t> </w:t>
      </w:r>
      <w:r>
        <w:rPr/>
        <w:t>da</w:t>
      </w:r>
      <w:r>
        <w:rPr>
          <w:spacing w:val="-5"/>
        </w:rPr>
        <w:t> </w:t>
      </w:r>
      <w:r>
        <w:rPr/>
        <w:t>función</w:t>
      </w:r>
      <w:r>
        <w:rPr>
          <w:spacing w:val="-4"/>
        </w:rPr>
        <w:t> </w:t>
      </w:r>
      <w:r>
        <w:rPr/>
        <w:t>pública</w:t>
      </w:r>
      <w:r>
        <w:rPr>
          <w:spacing w:val="-6"/>
        </w:rPr>
        <w:t> </w:t>
      </w:r>
      <w:r>
        <w:rPr/>
        <w:t>da</w:t>
      </w:r>
      <w:r>
        <w:rPr>
          <w:spacing w:val="-5"/>
        </w:rPr>
        <w:t> </w:t>
      </w:r>
      <w:r>
        <w:rPr/>
        <w:t>Comunidade</w:t>
      </w:r>
      <w:r>
        <w:rPr>
          <w:spacing w:val="-3"/>
        </w:rPr>
        <w:t> </w:t>
      </w:r>
      <w:r>
        <w:rPr/>
        <w:t>Autónoma</w:t>
      </w:r>
      <w:r>
        <w:rPr>
          <w:spacing w:val="-6"/>
        </w:rPr>
        <w:t> </w:t>
      </w:r>
      <w:r>
        <w:rPr/>
        <w:t>de</w:t>
      </w:r>
      <w:r>
        <w:rPr>
          <w:spacing w:val="-6"/>
        </w:rPr>
        <w:t> </w:t>
      </w:r>
      <w:r>
        <w:rPr/>
        <w:t>Galicia. Capítulo</w:t>
      </w:r>
      <w:r>
        <w:rPr>
          <w:spacing w:val="-8"/>
        </w:rPr>
        <w:t> </w:t>
      </w:r>
      <w:r>
        <w:rPr/>
        <w:t>V</w:t>
      </w:r>
    </w:p>
    <w:p>
      <w:pPr>
        <w:pStyle w:val="BodyText"/>
        <w:spacing w:before="3"/>
      </w:pPr>
      <w:r>
        <w:rPr/>
        <w:t>Réxime de retribucións.</w:t>
      </w:r>
    </w:p>
    <w:p>
      <w:pPr>
        <w:pStyle w:val="BodyText"/>
        <w:spacing w:before="11"/>
        <w:ind w:left="0"/>
        <w:jc w:val="left"/>
        <w:rPr>
          <w:sz w:val="21"/>
        </w:rPr>
      </w:pPr>
    </w:p>
    <w:p>
      <w:pPr>
        <w:pStyle w:val="BodyText"/>
      </w:pPr>
      <w:r>
        <w:rPr/>
        <w:t>Artigo 15º.-Normas xerais e comúns.</w:t>
      </w:r>
    </w:p>
    <w:p>
      <w:pPr>
        <w:pStyle w:val="BodyText"/>
        <w:ind w:right="122"/>
      </w:pPr>
      <w:r>
        <w:rPr/>
        <w:t>Os funcionarios/as serán remunerados polo concello segundo os conceptos e as contías que se determinen.</w:t>
      </w:r>
    </w:p>
    <w:p>
      <w:pPr>
        <w:spacing w:after="0"/>
        <w:sectPr>
          <w:pgSz w:w="11910" w:h="16840"/>
          <w:pgMar w:top="1360" w:bottom="280" w:left="1600" w:right="1580"/>
        </w:sectPr>
      </w:pPr>
    </w:p>
    <w:p>
      <w:pPr>
        <w:pStyle w:val="BodyText"/>
        <w:spacing w:line="268" w:lineRule="exact" w:before="39"/>
      </w:pPr>
      <w:r>
        <w:rPr/>
        <w:t>Artigo 16º.-Estructura salarial.</w:t>
      </w:r>
    </w:p>
    <w:p>
      <w:pPr>
        <w:pStyle w:val="BodyText"/>
      </w:pPr>
      <w:r>
        <w:rPr/>
        <w:t>Estará constituída polos seguintes conceptos:</w:t>
      </w:r>
    </w:p>
    <w:p>
      <w:pPr>
        <w:pStyle w:val="BodyText"/>
        <w:spacing w:before="3"/>
        <w:ind w:right="110"/>
      </w:pPr>
      <w:r>
        <w:rPr/>
        <w:t>-Salario base, que será o correspondente o grupo establecido nas táboas salariais que se unen como anexo 4 ó presente acordo.</w:t>
      </w:r>
    </w:p>
    <w:p>
      <w:pPr>
        <w:pStyle w:val="BodyText"/>
        <w:ind w:right="107"/>
      </w:pPr>
      <w:r>
        <w:rPr/>
        <w:t>-Trienios: todo o persoal terá un complemento por trienio consolidado, que será retribuído segundo aparece nas mesmas táboas salariais. Para os efectos de cálculo de trienios computarase o tempo correspondente á totalidade dos servicios prestados en calquera Administración pública, ben sexa en réxime de laboral ou funcionario.</w:t>
      </w:r>
    </w:p>
    <w:p>
      <w:pPr>
        <w:pStyle w:val="BodyText"/>
        <w:spacing w:line="242" w:lineRule="auto"/>
        <w:ind w:right="107"/>
      </w:pPr>
      <w:r>
        <w:rPr/>
        <w:t>Pagas extraordinarias, que serán dúas ó ano, por importe cada unha delas dunha mensualidade de salario base máis antigüidade, que se percibirán coa nómina dos meses de xuño e</w:t>
      </w:r>
      <w:r>
        <w:rPr>
          <w:spacing w:val="-12"/>
        </w:rPr>
        <w:t> </w:t>
      </w:r>
      <w:r>
        <w:rPr/>
        <w:t>decembro.</w:t>
      </w:r>
    </w:p>
    <w:p>
      <w:pPr>
        <w:pStyle w:val="BodyText"/>
        <w:spacing w:line="265" w:lineRule="exact"/>
      </w:pPr>
      <w:r>
        <w:rPr/>
        <w:t>Son retribucións complementarias:</w:t>
      </w:r>
    </w:p>
    <w:p>
      <w:pPr>
        <w:pStyle w:val="BodyText"/>
        <w:ind w:right="111"/>
      </w:pPr>
      <w:r>
        <w:rPr/>
        <w:t>-Complemento de destino correspondente ó nivel que para cada posto se indica nas táboas salariais anexas.</w:t>
      </w:r>
    </w:p>
    <w:p>
      <w:pPr>
        <w:pStyle w:val="BodyText"/>
        <w:spacing w:line="268" w:lineRule="exact"/>
      </w:pPr>
      <w:r>
        <w:rPr/>
        <w:t>-Complemento específico na contía que se indica nas táboas salariais anexas.</w:t>
      </w:r>
    </w:p>
    <w:p>
      <w:pPr>
        <w:pStyle w:val="BodyText"/>
      </w:pPr>
      <w:r>
        <w:rPr/>
        <w:t>-Complemento de productividade na contía que se indica nas táboas salariais anexas.</w:t>
      </w:r>
    </w:p>
    <w:p>
      <w:pPr>
        <w:pStyle w:val="BodyText"/>
        <w:spacing w:before="2"/>
        <w:ind w:left="0"/>
        <w:jc w:val="left"/>
      </w:pPr>
    </w:p>
    <w:p>
      <w:pPr>
        <w:pStyle w:val="BodyText"/>
        <w:spacing w:line="268" w:lineRule="exact" w:before="1"/>
      </w:pPr>
      <w:r>
        <w:rPr/>
        <w:t>Artigo 17º.-A ordenación do pagamento.</w:t>
      </w:r>
    </w:p>
    <w:p>
      <w:pPr>
        <w:pStyle w:val="BodyText"/>
        <w:ind w:right="108"/>
      </w:pPr>
      <w:r>
        <w:rPr/>
        <w:t>A ordenacion do pagamento de gastos de persoal ten carácter preferente sobre calquera outro que deba realizarse con cargo ós fondos correspondentes da corporación. O  concello entregará a cada traballador/a a nómina correspondente á súa mensualidade, e nela figurarán os conceptos que a compoñan perfectamente definidos.</w:t>
      </w:r>
    </w:p>
    <w:p>
      <w:pPr>
        <w:pStyle w:val="BodyText"/>
        <w:spacing w:before="11"/>
        <w:ind w:left="0"/>
        <w:jc w:val="left"/>
        <w:rPr>
          <w:sz w:val="21"/>
        </w:rPr>
      </w:pPr>
    </w:p>
    <w:p>
      <w:pPr>
        <w:pStyle w:val="BodyText"/>
      </w:pPr>
      <w:r>
        <w:rPr/>
        <w:t>Artigo 18º.-Gratificacións extraordinarias.</w:t>
      </w:r>
    </w:p>
    <w:p>
      <w:pPr>
        <w:pStyle w:val="BodyText"/>
        <w:spacing w:before="4"/>
        <w:ind w:right="98"/>
      </w:pPr>
      <w:r>
        <w:rPr/>
        <w:t>Proponse reduci-la realización de traballos fóra da xornada normal ó máximo. Compensaranse coa aplicación do réxime de tempo por tempo, de acordo co seguinte baremo:</w:t>
      </w:r>
    </w:p>
    <w:p>
      <w:pPr>
        <w:pStyle w:val="ListParagraph"/>
        <w:numPr>
          <w:ilvl w:val="0"/>
          <w:numId w:val="7"/>
        </w:numPr>
        <w:tabs>
          <w:tab w:pos="317" w:val="left" w:leader="none"/>
        </w:tabs>
        <w:spacing w:line="268" w:lineRule="exact" w:before="0" w:after="0"/>
        <w:ind w:left="316" w:right="0" w:hanging="216"/>
        <w:jc w:val="both"/>
        <w:rPr>
          <w:sz w:val="22"/>
        </w:rPr>
      </w:pPr>
      <w:r>
        <w:rPr>
          <w:sz w:val="22"/>
        </w:rPr>
        <w:t>Por</w:t>
      </w:r>
      <w:r>
        <w:rPr>
          <w:spacing w:val="-6"/>
          <w:sz w:val="22"/>
        </w:rPr>
        <w:t> </w:t>
      </w:r>
      <w:r>
        <w:rPr>
          <w:sz w:val="22"/>
        </w:rPr>
        <w:t>cada</w:t>
      </w:r>
      <w:r>
        <w:rPr>
          <w:spacing w:val="-6"/>
          <w:sz w:val="22"/>
        </w:rPr>
        <w:t> </w:t>
      </w:r>
      <w:r>
        <w:rPr>
          <w:sz w:val="22"/>
        </w:rPr>
        <w:t>hora</w:t>
      </w:r>
      <w:r>
        <w:rPr>
          <w:spacing w:val="-3"/>
          <w:sz w:val="22"/>
        </w:rPr>
        <w:t> </w:t>
      </w:r>
      <w:r>
        <w:rPr>
          <w:sz w:val="22"/>
        </w:rPr>
        <w:t>traballada</w:t>
      </w:r>
      <w:r>
        <w:rPr>
          <w:spacing w:val="-6"/>
          <w:sz w:val="22"/>
        </w:rPr>
        <w:t> </w:t>
      </w:r>
      <w:r>
        <w:rPr>
          <w:sz w:val="22"/>
        </w:rPr>
        <w:t>fóra</w:t>
      </w:r>
      <w:r>
        <w:rPr>
          <w:spacing w:val="-3"/>
          <w:sz w:val="22"/>
        </w:rPr>
        <w:t> </w:t>
      </w:r>
      <w:r>
        <w:rPr>
          <w:sz w:val="22"/>
        </w:rPr>
        <w:t>da</w:t>
      </w:r>
      <w:r>
        <w:rPr>
          <w:spacing w:val="-6"/>
          <w:sz w:val="22"/>
        </w:rPr>
        <w:t> </w:t>
      </w:r>
      <w:r>
        <w:rPr>
          <w:sz w:val="22"/>
        </w:rPr>
        <w:t>xornada</w:t>
      </w:r>
      <w:r>
        <w:rPr>
          <w:spacing w:val="-6"/>
          <w:sz w:val="22"/>
        </w:rPr>
        <w:t> </w:t>
      </w:r>
      <w:r>
        <w:rPr>
          <w:sz w:val="22"/>
        </w:rPr>
        <w:t>normal,</w:t>
      </w:r>
      <w:r>
        <w:rPr>
          <w:spacing w:val="-4"/>
          <w:sz w:val="22"/>
        </w:rPr>
        <w:t> </w:t>
      </w:r>
      <w:r>
        <w:rPr>
          <w:sz w:val="22"/>
        </w:rPr>
        <w:t>unha</w:t>
      </w:r>
      <w:r>
        <w:rPr>
          <w:spacing w:val="-6"/>
          <w:sz w:val="22"/>
        </w:rPr>
        <w:t> </w:t>
      </w:r>
      <w:r>
        <w:rPr>
          <w:sz w:val="22"/>
        </w:rPr>
        <w:t>hora</w:t>
      </w:r>
      <w:r>
        <w:rPr>
          <w:spacing w:val="-3"/>
          <w:sz w:val="22"/>
        </w:rPr>
        <w:t> </w:t>
      </w:r>
      <w:r>
        <w:rPr>
          <w:sz w:val="22"/>
        </w:rPr>
        <w:t>e</w:t>
      </w:r>
      <w:r>
        <w:rPr>
          <w:spacing w:val="-3"/>
          <w:sz w:val="22"/>
        </w:rPr>
        <w:t> </w:t>
      </w:r>
      <w:r>
        <w:rPr>
          <w:sz w:val="22"/>
        </w:rPr>
        <w:t>tres cuartos</w:t>
      </w:r>
      <w:r>
        <w:rPr>
          <w:spacing w:val="-4"/>
          <w:sz w:val="22"/>
        </w:rPr>
        <w:t> </w:t>
      </w:r>
      <w:r>
        <w:rPr>
          <w:sz w:val="22"/>
        </w:rPr>
        <w:t>libre.</w:t>
      </w:r>
    </w:p>
    <w:p>
      <w:pPr>
        <w:pStyle w:val="ListParagraph"/>
        <w:numPr>
          <w:ilvl w:val="0"/>
          <w:numId w:val="7"/>
        </w:numPr>
        <w:tabs>
          <w:tab w:pos="317" w:val="left" w:leader="none"/>
        </w:tabs>
        <w:spacing w:line="268" w:lineRule="exact" w:before="0" w:after="0"/>
        <w:ind w:left="316" w:right="0" w:hanging="216"/>
        <w:jc w:val="both"/>
        <w:rPr>
          <w:sz w:val="22"/>
        </w:rPr>
      </w:pPr>
      <w:r>
        <w:rPr>
          <w:sz w:val="22"/>
        </w:rPr>
        <w:t>Por</w:t>
      </w:r>
      <w:r>
        <w:rPr>
          <w:spacing w:val="-6"/>
          <w:sz w:val="22"/>
        </w:rPr>
        <w:t> </w:t>
      </w:r>
      <w:r>
        <w:rPr>
          <w:sz w:val="22"/>
        </w:rPr>
        <w:t>cada</w:t>
      </w:r>
      <w:r>
        <w:rPr>
          <w:spacing w:val="-6"/>
          <w:sz w:val="22"/>
        </w:rPr>
        <w:t> </w:t>
      </w:r>
      <w:r>
        <w:rPr>
          <w:sz w:val="22"/>
        </w:rPr>
        <w:t>hora</w:t>
      </w:r>
      <w:r>
        <w:rPr>
          <w:spacing w:val="-3"/>
          <w:sz w:val="22"/>
        </w:rPr>
        <w:t> </w:t>
      </w:r>
      <w:r>
        <w:rPr>
          <w:sz w:val="22"/>
        </w:rPr>
        <w:t>traballada</w:t>
      </w:r>
      <w:r>
        <w:rPr>
          <w:spacing w:val="-6"/>
          <w:sz w:val="22"/>
        </w:rPr>
        <w:t> </w:t>
      </w:r>
      <w:r>
        <w:rPr>
          <w:sz w:val="22"/>
        </w:rPr>
        <w:t>en</w:t>
      </w:r>
      <w:r>
        <w:rPr>
          <w:spacing w:val="-5"/>
          <w:sz w:val="22"/>
        </w:rPr>
        <w:t> </w:t>
      </w:r>
      <w:r>
        <w:rPr>
          <w:sz w:val="22"/>
        </w:rPr>
        <w:t>festivo</w:t>
      </w:r>
      <w:r>
        <w:rPr>
          <w:spacing w:val="-5"/>
          <w:sz w:val="22"/>
        </w:rPr>
        <w:t> </w:t>
      </w:r>
      <w:r>
        <w:rPr>
          <w:sz w:val="22"/>
        </w:rPr>
        <w:t>ou</w:t>
      </w:r>
      <w:r>
        <w:rPr>
          <w:spacing w:val="-5"/>
          <w:sz w:val="22"/>
        </w:rPr>
        <w:t> </w:t>
      </w:r>
      <w:r>
        <w:rPr>
          <w:sz w:val="22"/>
        </w:rPr>
        <w:t>nocturna,</w:t>
      </w:r>
      <w:r>
        <w:rPr>
          <w:spacing w:val="-4"/>
          <w:sz w:val="22"/>
        </w:rPr>
        <w:t> </w:t>
      </w:r>
      <w:r>
        <w:rPr>
          <w:sz w:val="22"/>
        </w:rPr>
        <w:t>dúas</w:t>
      </w:r>
      <w:r>
        <w:rPr>
          <w:spacing w:val="-4"/>
          <w:sz w:val="22"/>
        </w:rPr>
        <w:t> </w:t>
      </w:r>
      <w:r>
        <w:rPr>
          <w:sz w:val="22"/>
        </w:rPr>
        <w:t>horas</w:t>
      </w:r>
      <w:r>
        <w:rPr>
          <w:spacing w:val="-4"/>
          <w:sz w:val="22"/>
        </w:rPr>
        <w:t> </w:t>
      </w:r>
      <w:r>
        <w:rPr>
          <w:sz w:val="22"/>
        </w:rPr>
        <w:t>libres.</w:t>
      </w:r>
    </w:p>
    <w:p>
      <w:pPr>
        <w:pStyle w:val="BodyText"/>
        <w:ind w:right="106"/>
      </w:pPr>
      <w:r>
        <w:rPr/>
        <w:t>Cando non sexa posible compensa-las horas extraordinarias co réxime antes citado de tempo por tempo, procederá a compensación económica, correspondéndolle ó alcalde a asignación individual en atención ó numero de horas traballadas, horario, data e retribucións do traballador, e con suxeición ás limitacions orzamentarias.</w:t>
      </w:r>
    </w:p>
    <w:p>
      <w:pPr>
        <w:pStyle w:val="BodyText"/>
        <w:ind w:right="103"/>
      </w:pPr>
      <w:r>
        <w:rPr/>
        <w:t>Os traballos que deba realiza-lo persoal municipal fóra da xornada normal deberán contar coa autorización expresa da Alcaldía ou persoa en quen delegue.</w:t>
      </w:r>
    </w:p>
    <w:p>
      <w:pPr>
        <w:pStyle w:val="BodyText"/>
        <w:spacing w:before="11"/>
        <w:ind w:left="0"/>
        <w:jc w:val="left"/>
        <w:rPr>
          <w:sz w:val="21"/>
        </w:rPr>
      </w:pPr>
    </w:p>
    <w:p>
      <w:pPr>
        <w:pStyle w:val="BodyText"/>
        <w:spacing w:line="268" w:lineRule="exact"/>
      </w:pPr>
      <w:r>
        <w:rPr/>
        <w:t>Artigo 19º</w:t>
      </w:r>
    </w:p>
    <w:p>
      <w:pPr>
        <w:pStyle w:val="BodyText"/>
        <w:ind w:right="106"/>
      </w:pPr>
      <w:r>
        <w:rPr/>
        <w:t>A utilización do vehículo propio voluntariamente para a realización de desprazamentos, autorizados pola Alcaldía, por razóns exclusivamente do servicio,</w:t>
      </w:r>
    </w:p>
    <w:p>
      <w:pPr>
        <w:pStyle w:val="BodyText"/>
        <w:spacing w:before="3"/>
        <w:ind w:right="103"/>
      </w:pPr>
      <w:r>
        <w:rPr/>
        <w:t>contará coa indemnización establecida na normativa vixente por quilometraxe. No caso de que neste desprazamento se producira un accidente non debido a neglixencia do/a traballador/a, o concello asumiría o custo da reparación do vehículo, se así se acordara logo de tramitación do correspondente procedemento, de acordo co establecido no R.D. 429/1993.</w:t>
      </w:r>
    </w:p>
    <w:p>
      <w:pPr>
        <w:pStyle w:val="BodyText"/>
        <w:spacing w:before="11"/>
        <w:ind w:left="0"/>
        <w:jc w:val="left"/>
        <w:rPr>
          <w:sz w:val="21"/>
        </w:rPr>
      </w:pPr>
    </w:p>
    <w:p>
      <w:pPr>
        <w:pStyle w:val="BodyText"/>
      </w:pPr>
      <w:r>
        <w:rPr/>
        <w:t>Capítulo VI</w:t>
      </w:r>
    </w:p>
    <w:p>
      <w:pPr>
        <w:pStyle w:val="BodyText"/>
        <w:spacing w:before="11"/>
        <w:ind w:left="0"/>
        <w:jc w:val="left"/>
        <w:rPr>
          <w:sz w:val="21"/>
        </w:rPr>
      </w:pPr>
    </w:p>
    <w:p>
      <w:pPr>
        <w:pStyle w:val="BodyText"/>
      </w:pPr>
      <w:r>
        <w:rPr/>
        <w:t>Melloras sociais e asistenciais</w:t>
      </w:r>
    </w:p>
    <w:p>
      <w:pPr>
        <w:pStyle w:val="BodyText"/>
        <w:spacing w:before="2"/>
        <w:ind w:left="0"/>
        <w:jc w:val="left"/>
      </w:pPr>
    </w:p>
    <w:p>
      <w:pPr>
        <w:pStyle w:val="BodyText"/>
        <w:spacing w:line="268" w:lineRule="exact" w:before="1"/>
      </w:pPr>
      <w:r>
        <w:rPr/>
        <w:t>Artigo 20º.-Fondo de melloras sociais.</w:t>
      </w:r>
    </w:p>
    <w:p>
      <w:pPr>
        <w:pStyle w:val="BodyText"/>
        <w:ind w:right="105"/>
      </w:pPr>
      <w:r>
        <w:rPr/>
        <w:t>O concello consignará no orzamento municipal correspondente ó ano 2000 unha cantidade  dun millón de pesetas, para sufraga-los gastos dos seus funcionarios/as e persoal laboral, destinados a axudas de carácter</w:t>
      </w:r>
      <w:r>
        <w:rPr>
          <w:spacing w:val="-23"/>
        </w:rPr>
        <w:t> </w:t>
      </w:r>
      <w:r>
        <w:rPr/>
        <w:t>social.</w:t>
      </w:r>
    </w:p>
    <w:p>
      <w:pPr>
        <w:spacing w:after="0"/>
        <w:sectPr>
          <w:pgSz w:w="11910" w:h="16840"/>
          <w:pgMar w:top="1360" w:bottom="280" w:left="1600" w:right="1600"/>
        </w:sectPr>
      </w:pPr>
    </w:p>
    <w:p>
      <w:pPr>
        <w:pStyle w:val="BodyText"/>
        <w:spacing w:before="39"/>
        <w:ind w:right="133"/>
      </w:pPr>
      <w:r>
        <w:rPr/>
        <w:t>Nos tres primeiros meses de vixencia do presente convenio determinarase o procedemento para a asignación, de se-lo caso, desta cantidade.</w:t>
      </w:r>
    </w:p>
    <w:p>
      <w:pPr>
        <w:pStyle w:val="BodyText"/>
        <w:spacing w:before="2"/>
        <w:ind w:left="0"/>
        <w:jc w:val="left"/>
      </w:pPr>
    </w:p>
    <w:p>
      <w:pPr>
        <w:pStyle w:val="BodyText"/>
        <w:spacing w:line="268" w:lineRule="exact" w:before="1"/>
      </w:pPr>
      <w:r>
        <w:rPr/>
        <w:t>Artigo 21º.-Revisión médica.</w:t>
      </w:r>
    </w:p>
    <w:p>
      <w:pPr>
        <w:pStyle w:val="BodyText"/>
        <w:ind w:right="124"/>
      </w:pPr>
      <w:r>
        <w:rPr/>
        <w:t>O concello adoptará as medidas precisas para que todo o persoal poida efectuar un recoñecemento médico completo de carácter anual, que será obrigatorio para tódolos/as traballadores/as.</w:t>
      </w:r>
    </w:p>
    <w:p>
      <w:pPr>
        <w:pStyle w:val="BodyText"/>
        <w:spacing w:before="11"/>
        <w:ind w:left="0"/>
        <w:jc w:val="left"/>
        <w:rPr>
          <w:sz w:val="21"/>
        </w:rPr>
      </w:pPr>
    </w:p>
    <w:p>
      <w:pPr>
        <w:pStyle w:val="BodyText"/>
        <w:spacing w:line="268" w:lineRule="exact"/>
      </w:pPr>
      <w:r>
        <w:rPr/>
        <w:t>Artigo 22º</w:t>
      </w:r>
    </w:p>
    <w:p>
      <w:pPr>
        <w:pStyle w:val="BodyText"/>
        <w:spacing w:line="242" w:lineRule="auto"/>
        <w:ind w:right="124"/>
      </w:pPr>
      <w:r>
        <w:rPr/>
        <w:t>O concello asegurará a percepción das retribucións por parte do/a traballador/a en situación de baixa por enfermidade ou accidente, de acordo co establecido no réxime retributivo establecido para a incapacidade temporal.</w:t>
      </w:r>
    </w:p>
    <w:p>
      <w:pPr>
        <w:pStyle w:val="BodyText"/>
        <w:spacing w:before="8"/>
        <w:ind w:left="0"/>
        <w:jc w:val="left"/>
        <w:rPr>
          <w:sz w:val="21"/>
        </w:rPr>
      </w:pPr>
    </w:p>
    <w:p>
      <w:pPr>
        <w:pStyle w:val="BodyText"/>
        <w:spacing w:line="268" w:lineRule="exact"/>
      </w:pPr>
      <w:r>
        <w:rPr/>
        <w:t>Artigo 23º</w:t>
      </w:r>
    </w:p>
    <w:p>
      <w:pPr>
        <w:pStyle w:val="BodyText"/>
        <w:ind w:right="115"/>
      </w:pPr>
      <w:r>
        <w:rPr/>
        <w:t>Todo traballador/a que por razón de idade ou calquera outra, teña a súa capacidade diminuída para o desenvolvemento do seu traballo, o concello, logo dos informes médicos preceptivos e da comisión paritaria de control, destinará o/a interesado/a a outro posto acorde coas circunstancias sobrevidas, conservando as mesmas retribucións totais con excepción dos complementos que estivera percibindo con anterioridade en función do horario ou do posto que desempeñara.</w:t>
      </w:r>
    </w:p>
    <w:p>
      <w:pPr>
        <w:pStyle w:val="BodyText"/>
        <w:ind w:right="128"/>
      </w:pPr>
      <w:r>
        <w:rPr/>
        <w:t>No caso de non poder realizar ningunha función, iniciarase o correspondente expediente de xubilación por incapacidade.</w:t>
      </w:r>
    </w:p>
    <w:p>
      <w:pPr>
        <w:pStyle w:val="BodyText"/>
        <w:spacing w:before="11"/>
        <w:ind w:left="0"/>
        <w:jc w:val="left"/>
        <w:rPr>
          <w:sz w:val="21"/>
        </w:rPr>
      </w:pPr>
    </w:p>
    <w:p>
      <w:pPr>
        <w:pStyle w:val="BodyText"/>
      </w:pPr>
      <w:r>
        <w:rPr/>
        <w:t>Artigo 24º.-Aboamento do permiso de conducción.</w:t>
      </w:r>
    </w:p>
    <w:p>
      <w:pPr>
        <w:pStyle w:val="BodyText"/>
        <w:spacing w:before="4"/>
        <w:ind w:right="127"/>
      </w:pPr>
      <w:r>
        <w:rPr/>
        <w:t>O concello aboaralle ó persoal que o precise para o desenvolvemento do seu traballo os gastos de renovación dos correspondentes permisos de conducción.</w:t>
      </w:r>
    </w:p>
    <w:p>
      <w:pPr>
        <w:pStyle w:val="BodyText"/>
        <w:spacing w:before="11"/>
        <w:ind w:left="0"/>
        <w:jc w:val="left"/>
        <w:rPr>
          <w:sz w:val="21"/>
        </w:rPr>
      </w:pPr>
    </w:p>
    <w:p>
      <w:pPr>
        <w:pStyle w:val="BodyText"/>
        <w:spacing w:line="268" w:lineRule="exact"/>
      </w:pPr>
      <w:r>
        <w:rPr/>
        <w:t>Artigo 25º.-Seguro de responsabilidade civil.</w:t>
      </w:r>
    </w:p>
    <w:p>
      <w:pPr>
        <w:pStyle w:val="BodyText"/>
        <w:ind w:right="128"/>
      </w:pPr>
      <w:r>
        <w:rPr/>
        <w:t>O concello subscribirá unha póliza que garanta a cobertura por responsabilidade civil que se poida derivar das actividades profesionais do persoal municipal.</w:t>
      </w:r>
    </w:p>
    <w:p>
      <w:pPr>
        <w:pStyle w:val="BodyText"/>
        <w:spacing w:before="2"/>
        <w:ind w:left="0"/>
        <w:jc w:val="left"/>
      </w:pPr>
    </w:p>
    <w:p>
      <w:pPr>
        <w:pStyle w:val="BodyText"/>
        <w:spacing w:before="1"/>
      </w:pPr>
      <w:r>
        <w:rPr/>
        <w:t>Artigo 26º.-Seguro de accidentes laborais.</w:t>
      </w:r>
    </w:p>
    <w:p>
      <w:pPr>
        <w:pStyle w:val="BodyText"/>
        <w:ind w:right="130"/>
      </w:pPr>
      <w:r>
        <w:rPr/>
        <w:t>O concello concertará unha póliza de accidentes de traballo, sendo asegurados tódolos/as traballadores/as do cadro de persoal municipal en servicio</w:t>
      </w:r>
    </w:p>
    <w:p>
      <w:pPr>
        <w:pStyle w:val="BodyText"/>
        <w:spacing w:line="268" w:lineRule="exact"/>
      </w:pPr>
      <w:r>
        <w:rPr/>
        <w:t>activo. As condicións mínimas da dita póliza serán as seguintes:</w:t>
      </w:r>
    </w:p>
    <w:p>
      <w:pPr>
        <w:pStyle w:val="ListParagraph"/>
        <w:numPr>
          <w:ilvl w:val="0"/>
          <w:numId w:val="8"/>
        </w:numPr>
        <w:tabs>
          <w:tab w:pos="465" w:val="left" w:leader="none"/>
        </w:tabs>
        <w:spacing w:line="240" w:lineRule="auto" w:before="0" w:after="0"/>
        <w:ind w:left="100" w:right="125" w:firstLine="0"/>
        <w:jc w:val="both"/>
        <w:rPr>
          <w:sz w:val="22"/>
        </w:rPr>
      </w:pPr>
      <w:r>
        <w:rPr>
          <w:sz w:val="22"/>
        </w:rPr>
        <w:t>Cobertura: falecemento, invalidez absoluta e permanente ou invalidez parcial, exclusivamente para aqueles casos de accidentes sufridos durante o exercicio das súas ocupacións profesionais ou in</w:t>
      </w:r>
      <w:r>
        <w:rPr>
          <w:spacing w:val="-21"/>
          <w:sz w:val="22"/>
        </w:rPr>
        <w:t> </w:t>
      </w:r>
      <w:r>
        <w:rPr>
          <w:sz w:val="22"/>
        </w:rPr>
        <w:t>itinere.</w:t>
      </w:r>
    </w:p>
    <w:p>
      <w:pPr>
        <w:pStyle w:val="ListParagraph"/>
        <w:numPr>
          <w:ilvl w:val="0"/>
          <w:numId w:val="8"/>
        </w:numPr>
        <w:tabs>
          <w:tab w:pos="317" w:val="left" w:leader="none"/>
        </w:tabs>
        <w:spacing w:line="240" w:lineRule="auto" w:before="3" w:after="0"/>
        <w:ind w:left="100" w:right="5404" w:firstLine="0"/>
        <w:jc w:val="left"/>
        <w:rPr>
          <w:sz w:val="22"/>
        </w:rPr>
      </w:pPr>
      <w:r>
        <w:rPr>
          <w:sz w:val="22"/>
        </w:rPr>
        <w:t>Capitais</w:t>
      </w:r>
      <w:r>
        <w:rPr>
          <w:spacing w:val="-11"/>
          <w:sz w:val="22"/>
        </w:rPr>
        <w:t> </w:t>
      </w:r>
      <w:r>
        <w:rPr>
          <w:sz w:val="22"/>
        </w:rPr>
        <w:t>garantidos:</w:t>
      </w:r>
      <w:r>
        <w:rPr>
          <w:spacing w:val="-10"/>
          <w:sz w:val="22"/>
        </w:rPr>
        <w:t> </w:t>
      </w:r>
      <w:r>
        <w:rPr>
          <w:sz w:val="22"/>
        </w:rPr>
        <w:t>Falecemento:</w:t>
      </w:r>
      <w:r>
        <w:rPr>
          <w:spacing w:val="-1"/>
          <w:sz w:val="22"/>
        </w:rPr>
        <w:t> </w:t>
      </w:r>
      <w:r>
        <w:rPr>
          <w:sz w:val="22"/>
        </w:rPr>
        <w:t>4.000.000 de</w:t>
      </w:r>
      <w:r>
        <w:rPr>
          <w:spacing w:val="-8"/>
          <w:sz w:val="22"/>
        </w:rPr>
        <w:t> </w:t>
      </w:r>
      <w:r>
        <w:rPr>
          <w:sz w:val="22"/>
        </w:rPr>
        <w:t>pesetas.</w:t>
      </w:r>
    </w:p>
    <w:p>
      <w:pPr>
        <w:pStyle w:val="BodyText"/>
        <w:ind w:right="3621"/>
        <w:jc w:val="left"/>
      </w:pPr>
      <w:r>
        <w:rPr/>
        <w:t>Invalidez absoluta e permanente: 8.000.000 de pesetas. Invalidez parcial: segundo baremo.</w:t>
      </w:r>
    </w:p>
    <w:p>
      <w:pPr>
        <w:pStyle w:val="BodyText"/>
        <w:ind w:right="131"/>
      </w:pPr>
      <w:r>
        <w:rPr/>
        <w:t>En caso de accidente laboral, o concello farase cargo dos gastos ocasionados por este ós/ás traballadores/as municipais.</w:t>
      </w:r>
    </w:p>
    <w:p>
      <w:pPr>
        <w:pStyle w:val="BodyText"/>
        <w:spacing w:before="11"/>
        <w:ind w:left="0"/>
        <w:jc w:val="left"/>
        <w:rPr>
          <w:sz w:val="21"/>
        </w:rPr>
      </w:pPr>
    </w:p>
    <w:p>
      <w:pPr>
        <w:pStyle w:val="BodyText"/>
      </w:pPr>
      <w:r>
        <w:rPr/>
        <w:t>Artigo 27º.-Asistencia xurídica.</w:t>
      </w:r>
    </w:p>
    <w:p>
      <w:pPr>
        <w:pStyle w:val="BodyText"/>
        <w:spacing w:before="3"/>
        <w:ind w:right="128"/>
      </w:pPr>
      <w:r>
        <w:rPr/>
        <w:t>O concello obrígase a lles prestar asistencia xurídica ós/ás seus empregados/as nos supostos de conflictos xurídicos con terceiros como consecuencia da prestación dos seus servicios, salvo en</w:t>
      </w:r>
      <w:r>
        <w:rPr>
          <w:spacing w:val="-6"/>
        </w:rPr>
        <w:t> </w:t>
      </w:r>
      <w:r>
        <w:rPr/>
        <w:t>caso</w:t>
      </w:r>
      <w:r>
        <w:rPr>
          <w:spacing w:val="-6"/>
        </w:rPr>
        <w:t> </w:t>
      </w:r>
      <w:r>
        <w:rPr/>
        <w:t>de</w:t>
      </w:r>
      <w:r>
        <w:rPr>
          <w:spacing w:val="-8"/>
        </w:rPr>
        <w:t> </w:t>
      </w:r>
      <w:r>
        <w:rPr/>
        <w:t>manifesta</w:t>
      </w:r>
      <w:r>
        <w:rPr>
          <w:spacing w:val="-4"/>
        </w:rPr>
        <w:t> </w:t>
      </w:r>
      <w:r>
        <w:rPr/>
        <w:t>neglixencia</w:t>
      </w:r>
      <w:r>
        <w:rPr>
          <w:spacing w:val="-8"/>
        </w:rPr>
        <w:t> </w:t>
      </w:r>
      <w:r>
        <w:rPr/>
        <w:t>debidamente</w:t>
      </w:r>
      <w:r>
        <w:rPr>
          <w:spacing w:val="-8"/>
        </w:rPr>
        <w:t> </w:t>
      </w:r>
      <w:r>
        <w:rPr/>
        <w:t>probada.</w:t>
      </w:r>
    </w:p>
    <w:p>
      <w:pPr>
        <w:pStyle w:val="BodyText"/>
        <w:spacing w:before="11"/>
        <w:ind w:left="0"/>
        <w:jc w:val="left"/>
        <w:rPr>
          <w:sz w:val="21"/>
        </w:rPr>
      </w:pPr>
    </w:p>
    <w:p>
      <w:pPr>
        <w:pStyle w:val="BodyText"/>
      </w:pPr>
      <w:r>
        <w:rPr/>
        <w:t>Artigo 28º.-Anticipos reintegrables.</w:t>
      </w:r>
    </w:p>
    <w:p>
      <w:pPr>
        <w:spacing w:after="0"/>
        <w:sectPr>
          <w:pgSz w:w="11910" w:h="16840"/>
          <w:pgMar w:top="1360" w:bottom="280" w:left="1600" w:right="1580"/>
        </w:sectPr>
      </w:pPr>
    </w:p>
    <w:p>
      <w:pPr>
        <w:pStyle w:val="ListParagraph"/>
        <w:numPr>
          <w:ilvl w:val="0"/>
          <w:numId w:val="9"/>
        </w:numPr>
        <w:tabs>
          <w:tab w:pos="385" w:val="left" w:leader="none"/>
        </w:tabs>
        <w:spacing w:line="240" w:lineRule="auto" w:before="39" w:after="0"/>
        <w:ind w:left="100" w:right="117" w:firstLine="0"/>
        <w:jc w:val="both"/>
        <w:rPr>
          <w:sz w:val="22"/>
        </w:rPr>
      </w:pPr>
      <w:r>
        <w:rPr>
          <w:sz w:val="22"/>
        </w:rPr>
        <w:t>Tódolos/as traballadores/as terán dereito a percibir un anticipo, en caso de urxente necesidade, por unha contía de ata o 70% da súa retribución mensual ordinaria. Farase  efectivo de inmediato, tralos trámites oportunos, e a cantidade correspondente descontaráselles na nómina do mesmo</w:t>
      </w:r>
      <w:r>
        <w:rPr>
          <w:spacing w:val="-26"/>
          <w:sz w:val="22"/>
        </w:rPr>
        <w:t> </w:t>
      </w:r>
      <w:r>
        <w:rPr>
          <w:sz w:val="22"/>
        </w:rPr>
        <w:t>mes.</w:t>
      </w:r>
    </w:p>
    <w:p>
      <w:pPr>
        <w:pStyle w:val="ListParagraph"/>
        <w:numPr>
          <w:ilvl w:val="0"/>
          <w:numId w:val="9"/>
        </w:numPr>
        <w:tabs>
          <w:tab w:pos="349" w:val="left" w:leader="none"/>
        </w:tabs>
        <w:spacing w:line="240" w:lineRule="auto" w:before="0" w:after="0"/>
        <w:ind w:left="100" w:right="123" w:firstLine="0"/>
        <w:jc w:val="both"/>
        <w:rPr>
          <w:sz w:val="22"/>
        </w:rPr>
      </w:pPr>
      <w:r>
        <w:rPr>
          <w:sz w:val="22"/>
        </w:rPr>
        <w:t>Por petición do/a interesado/a, o concello concederá, de estimalo procedente a vista da liquidez do concello, fundamentalmente ó persoal funcionario, anticipos reintegrables de cantidade sobre o soldo. A súa devolución efectuarase mediante deduccións mensuais sen que xere ningún tipo de</w:t>
      </w:r>
      <w:r>
        <w:rPr>
          <w:spacing w:val="-19"/>
          <w:sz w:val="22"/>
        </w:rPr>
        <w:t> </w:t>
      </w:r>
      <w:r>
        <w:rPr>
          <w:sz w:val="22"/>
        </w:rPr>
        <w:t>xuro.</w:t>
      </w:r>
    </w:p>
    <w:p>
      <w:pPr>
        <w:pStyle w:val="BodyText"/>
        <w:ind w:right="118"/>
      </w:pPr>
      <w:r>
        <w:rPr/>
        <w:t>A contía dos citados anticipos será de ata dúas mensualidades brutas, cun máximo de 500.000 pesetas e a súa devolución farase nos seguintes prazos:</w:t>
      </w:r>
    </w:p>
    <w:p>
      <w:pPr>
        <w:pStyle w:val="BodyText"/>
        <w:spacing w:before="3"/>
        <w:ind w:right="3765"/>
        <w:jc w:val="left"/>
      </w:pPr>
      <w:r>
        <w:rPr/>
        <w:t>Dez meses para os anticipos dunha mensualidade. Vinte meses para os anticipos de dúas mensualidades.</w:t>
      </w:r>
    </w:p>
    <w:p>
      <w:pPr>
        <w:pStyle w:val="BodyText"/>
        <w:ind w:right="120"/>
      </w:pPr>
      <w:r>
        <w:rPr/>
        <w:t>En todo caso, o período máximo de devolución non poderá supera-la data de xubilación do/a solicitante.</w:t>
      </w:r>
    </w:p>
    <w:p>
      <w:pPr>
        <w:pStyle w:val="BodyText"/>
        <w:ind w:right="127"/>
      </w:pPr>
      <w:r>
        <w:rPr/>
        <w:t>Non se concederán novos anticipos se o/a empregado/a non amortizara, cando menos, o 75% do que tiña concedido con anterioridade, salvo causa de imperiosa necesidade debidamente xustificada a criterio da Alcaldía, logo de informe da comisión.</w:t>
      </w:r>
    </w:p>
    <w:p>
      <w:pPr>
        <w:pStyle w:val="BodyText"/>
        <w:spacing w:before="2"/>
        <w:ind w:left="0"/>
        <w:jc w:val="left"/>
      </w:pPr>
    </w:p>
    <w:p>
      <w:pPr>
        <w:pStyle w:val="BodyText"/>
        <w:spacing w:line="268" w:lineRule="exact" w:before="1"/>
      </w:pPr>
      <w:r>
        <w:rPr/>
        <w:t>Artigo 29º.-Axudas de custo.</w:t>
      </w:r>
    </w:p>
    <w:p>
      <w:pPr>
        <w:pStyle w:val="BodyText"/>
        <w:spacing w:line="268" w:lineRule="exact"/>
      </w:pPr>
      <w:r>
        <w:rPr/>
        <w:t>Os/as traballadores/as percibirán axudas de custo nos seguintes casos:</w:t>
      </w:r>
    </w:p>
    <w:p>
      <w:pPr>
        <w:pStyle w:val="ListParagraph"/>
        <w:numPr>
          <w:ilvl w:val="0"/>
          <w:numId w:val="10"/>
        </w:numPr>
        <w:tabs>
          <w:tab w:pos="341" w:val="left" w:leader="none"/>
        </w:tabs>
        <w:spacing w:line="240" w:lineRule="auto" w:before="0" w:after="0"/>
        <w:ind w:left="100" w:right="121" w:firstLine="0"/>
        <w:jc w:val="both"/>
        <w:rPr>
          <w:sz w:val="22"/>
        </w:rPr>
      </w:pPr>
      <w:r>
        <w:rPr>
          <w:sz w:val="22"/>
        </w:rPr>
        <w:t>Cando se asista, logo de autorización, a cursos de formación, perfeccionamento, xornadas de traballo, de debate, charlas, etc., relacionadas co posto de traballo, coas limitacions orzamentarias</w:t>
      </w:r>
      <w:r>
        <w:rPr>
          <w:spacing w:val="-4"/>
          <w:sz w:val="22"/>
        </w:rPr>
        <w:t> </w:t>
      </w:r>
      <w:r>
        <w:rPr>
          <w:sz w:val="22"/>
        </w:rPr>
        <w:t>e</w:t>
      </w:r>
      <w:r>
        <w:rPr>
          <w:spacing w:val="-10"/>
          <w:sz w:val="22"/>
        </w:rPr>
        <w:t> </w:t>
      </w:r>
      <w:r>
        <w:rPr>
          <w:sz w:val="22"/>
        </w:rPr>
        <w:t>nas</w:t>
      </w:r>
      <w:r>
        <w:rPr>
          <w:spacing w:val="-4"/>
          <w:sz w:val="22"/>
        </w:rPr>
        <w:t> </w:t>
      </w:r>
      <w:r>
        <w:rPr>
          <w:sz w:val="22"/>
        </w:rPr>
        <w:t>condicions</w:t>
      </w:r>
      <w:r>
        <w:rPr>
          <w:spacing w:val="-6"/>
          <w:sz w:val="22"/>
        </w:rPr>
        <w:t> </w:t>
      </w:r>
      <w:r>
        <w:rPr>
          <w:sz w:val="22"/>
        </w:rPr>
        <w:t>esixidas</w:t>
      </w:r>
      <w:r>
        <w:rPr>
          <w:spacing w:val="-7"/>
          <w:sz w:val="22"/>
        </w:rPr>
        <w:t> </w:t>
      </w:r>
      <w:r>
        <w:rPr>
          <w:sz w:val="22"/>
        </w:rPr>
        <w:t>pola</w:t>
      </w:r>
      <w:r>
        <w:rPr>
          <w:spacing w:val="-10"/>
          <w:sz w:val="22"/>
        </w:rPr>
        <w:t> </w:t>
      </w:r>
      <w:r>
        <w:rPr>
          <w:sz w:val="22"/>
        </w:rPr>
        <w:t>normativa</w:t>
      </w:r>
      <w:r>
        <w:rPr>
          <w:spacing w:val="-9"/>
          <w:sz w:val="22"/>
        </w:rPr>
        <w:t> </w:t>
      </w:r>
      <w:r>
        <w:rPr>
          <w:sz w:val="22"/>
        </w:rPr>
        <w:t>vixente.</w:t>
      </w:r>
    </w:p>
    <w:p>
      <w:pPr>
        <w:pStyle w:val="BodyText"/>
        <w:spacing w:line="268" w:lineRule="exact"/>
      </w:pPr>
      <w:r>
        <w:rPr/>
        <w:t>A contía das axudas de custo será a establecida na normativa vixente en cada caso.</w:t>
      </w:r>
    </w:p>
    <w:p>
      <w:pPr>
        <w:pStyle w:val="BodyText"/>
        <w:spacing w:before="4"/>
        <w:ind w:right="119"/>
      </w:pPr>
      <w:r>
        <w:rPr/>
        <w:t>Terán dereito ó concepto de indemnización por asistencia, cando se realicen fóra da xornada laboral de traballo, os/as traballadores/as:</w:t>
      </w:r>
    </w:p>
    <w:p>
      <w:pPr>
        <w:pStyle w:val="ListParagraph"/>
        <w:numPr>
          <w:ilvl w:val="0"/>
          <w:numId w:val="10"/>
        </w:numPr>
        <w:tabs>
          <w:tab w:pos="357" w:val="left" w:leader="none"/>
        </w:tabs>
        <w:spacing w:line="240" w:lineRule="auto" w:before="0" w:after="0"/>
        <w:ind w:left="100" w:right="126" w:firstLine="0"/>
        <w:jc w:val="both"/>
        <w:rPr>
          <w:sz w:val="22"/>
        </w:rPr>
      </w:pPr>
      <w:r>
        <w:rPr>
          <w:sz w:val="22"/>
        </w:rPr>
        <w:t>Que asistan como vocais, secretarios/as ou asesores a órganos de selección de persoal: tribunais</w:t>
      </w:r>
      <w:r>
        <w:rPr>
          <w:spacing w:val="-6"/>
          <w:sz w:val="22"/>
        </w:rPr>
        <w:t> </w:t>
      </w:r>
      <w:r>
        <w:rPr>
          <w:sz w:val="22"/>
        </w:rPr>
        <w:t>de</w:t>
      </w:r>
      <w:r>
        <w:rPr>
          <w:spacing w:val="-7"/>
          <w:sz w:val="22"/>
        </w:rPr>
        <w:t> </w:t>
      </w:r>
      <w:r>
        <w:rPr>
          <w:sz w:val="22"/>
        </w:rPr>
        <w:t>oposicións,</w:t>
      </w:r>
      <w:r>
        <w:rPr>
          <w:spacing w:val="-6"/>
          <w:sz w:val="22"/>
        </w:rPr>
        <w:t> </w:t>
      </w:r>
      <w:r>
        <w:rPr>
          <w:sz w:val="22"/>
        </w:rPr>
        <w:t>órganos</w:t>
      </w:r>
      <w:r>
        <w:rPr>
          <w:spacing w:val="-5"/>
          <w:sz w:val="22"/>
        </w:rPr>
        <w:t> </w:t>
      </w:r>
      <w:r>
        <w:rPr>
          <w:sz w:val="22"/>
        </w:rPr>
        <w:t>de</w:t>
      </w:r>
      <w:r>
        <w:rPr>
          <w:spacing w:val="-7"/>
          <w:sz w:val="22"/>
        </w:rPr>
        <w:t> </w:t>
      </w:r>
      <w:r>
        <w:rPr>
          <w:sz w:val="22"/>
        </w:rPr>
        <w:t>selección,</w:t>
      </w:r>
      <w:r>
        <w:rPr>
          <w:spacing w:val="-6"/>
          <w:sz w:val="22"/>
        </w:rPr>
        <w:t> </w:t>
      </w:r>
      <w:r>
        <w:rPr>
          <w:sz w:val="22"/>
        </w:rPr>
        <w:t>comisións</w:t>
      </w:r>
      <w:r>
        <w:rPr>
          <w:spacing w:val="-5"/>
          <w:sz w:val="22"/>
        </w:rPr>
        <w:t> </w:t>
      </w:r>
      <w:r>
        <w:rPr>
          <w:sz w:val="22"/>
        </w:rPr>
        <w:t>de</w:t>
      </w:r>
      <w:r>
        <w:rPr>
          <w:spacing w:val="-7"/>
          <w:sz w:val="22"/>
        </w:rPr>
        <w:t> </w:t>
      </w:r>
      <w:r>
        <w:rPr>
          <w:sz w:val="22"/>
        </w:rPr>
        <w:t>valoración,</w:t>
      </w:r>
      <w:r>
        <w:rPr>
          <w:spacing w:val="-6"/>
          <w:sz w:val="22"/>
        </w:rPr>
        <w:t> </w:t>
      </w:r>
      <w:r>
        <w:rPr>
          <w:sz w:val="22"/>
        </w:rPr>
        <w:t>etc.</w:t>
      </w:r>
    </w:p>
    <w:p>
      <w:pPr>
        <w:pStyle w:val="ListParagraph"/>
        <w:numPr>
          <w:ilvl w:val="0"/>
          <w:numId w:val="10"/>
        </w:numPr>
        <w:tabs>
          <w:tab w:pos="341" w:val="left" w:leader="none"/>
        </w:tabs>
        <w:spacing w:line="240" w:lineRule="auto" w:before="0" w:after="0"/>
        <w:ind w:left="100" w:right="128" w:firstLine="0"/>
        <w:jc w:val="both"/>
        <w:rPr>
          <w:sz w:val="22"/>
        </w:rPr>
      </w:pPr>
      <w:r>
        <w:rPr>
          <w:sz w:val="22"/>
        </w:rPr>
        <w:t>Os/as delegados/as de persoal que en calidade de tales asistan con voz e voto a calquera proceso selectivo do persoal antes</w:t>
      </w:r>
      <w:r>
        <w:rPr>
          <w:spacing w:val="-31"/>
          <w:sz w:val="22"/>
        </w:rPr>
        <w:t> </w:t>
      </w:r>
      <w:r>
        <w:rPr>
          <w:sz w:val="22"/>
        </w:rPr>
        <w:t>descrito.</w:t>
      </w:r>
    </w:p>
    <w:p>
      <w:pPr>
        <w:pStyle w:val="BodyText"/>
        <w:spacing w:line="242" w:lineRule="auto"/>
        <w:ind w:right="120"/>
      </w:pPr>
      <w:r>
        <w:rPr/>
        <w:t>A contía das asistencias será a que se establece na lexislación e nos casos non previstos nesta determinarase por analoxía ou similitude, resultando que os/as asesores/as ou delegados/as percibirán o mesmo importe que lles corresponda ós/ás vocais.</w:t>
      </w:r>
    </w:p>
    <w:p>
      <w:pPr>
        <w:pStyle w:val="BodyText"/>
        <w:spacing w:before="8"/>
        <w:ind w:left="0"/>
        <w:jc w:val="left"/>
        <w:rPr>
          <w:sz w:val="21"/>
        </w:rPr>
      </w:pPr>
    </w:p>
    <w:p>
      <w:pPr>
        <w:pStyle w:val="BodyText"/>
      </w:pPr>
      <w:r>
        <w:rPr/>
        <w:t>Capítulo VII</w:t>
      </w:r>
    </w:p>
    <w:p>
      <w:pPr>
        <w:pStyle w:val="BodyText"/>
        <w:spacing w:line="540" w:lineRule="exact" w:before="45"/>
        <w:ind w:right="6243"/>
        <w:jc w:val="left"/>
      </w:pPr>
      <w:r>
        <w:rPr/>
        <w:t>Dereitos profesionais Artigo 30º.-Normas xerais.</w:t>
      </w:r>
    </w:p>
    <w:p>
      <w:pPr>
        <w:pStyle w:val="BodyText"/>
        <w:spacing w:line="219" w:lineRule="exact"/>
      </w:pPr>
      <w:r>
        <w:rPr/>
        <w:t>O persoal funcionario ten dereito á carreira administrativa, para o cal o concello potenciará   e</w:t>
      </w:r>
    </w:p>
    <w:p>
      <w:pPr>
        <w:pStyle w:val="BodyText"/>
        <w:ind w:right="123"/>
      </w:pPr>
      <w:r>
        <w:rPr/>
        <w:t>realizará a formación profesional dos seus empregados/as mediante o ascenso destes/as a postos de traballo de niveis superiores ó grao persoal que todo/a traballador/a posúa, dentro dos termos establecidos na lexislación vixente.</w:t>
      </w:r>
    </w:p>
    <w:p>
      <w:pPr>
        <w:pStyle w:val="ListParagraph"/>
        <w:numPr>
          <w:ilvl w:val="0"/>
          <w:numId w:val="11"/>
        </w:numPr>
        <w:tabs>
          <w:tab w:pos="337" w:val="left" w:leader="none"/>
        </w:tabs>
        <w:spacing w:line="240" w:lineRule="auto" w:before="0" w:after="0"/>
        <w:ind w:left="100" w:right="126" w:firstLine="0"/>
        <w:jc w:val="both"/>
        <w:rPr>
          <w:sz w:val="22"/>
        </w:rPr>
      </w:pPr>
      <w:r>
        <w:rPr>
          <w:sz w:val="22"/>
        </w:rPr>
        <w:t>Os/as traballadores/as do concello teñen dereito ó cambio do seu posto de traballo, unha vez que se teña producida vacante en posto de igual ou superior nivel, dentro do mesmo corpo, grupo e</w:t>
      </w:r>
      <w:r>
        <w:rPr>
          <w:spacing w:val="-15"/>
          <w:sz w:val="22"/>
        </w:rPr>
        <w:t> </w:t>
      </w:r>
      <w:r>
        <w:rPr>
          <w:sz w:val="22"/>
        </w:rPr>
        <w:t>escala.</w:t>
      </w:r>
    </w:p>
    <w:p>
      <w:pPr>
        <w:pStyle w:val="ListParagraph"/>
        <w:numPr>
          <w:ilvl w:val="0"/>
          <w:numId w:val="11"/>
        </w:numPr>
        <w:tabs>
          <w:tab w:pos="333" w:val="left" w:leader="none"/>
        </w:tabs>
        <w:spacing w:line="240" w:lineRule="auto" w:before="3" w:after="0"/>
        <w:ind w:left="100" w:right="113" w:firstLine="0"/>
        <w:jc w:val="both"/>
        <w:rPr>
          <w:sz w:val="22"/>
        </w:rPr>
      </w:pPr>
      <w:r>
        <w:rPr>
          <w:sz w:val="22"/>
        </w:rPr>
        <w:t>Para participaren en probas de promoción interna, os/as traballadores/as deberán posuí-la titulación e requisitos establecidos con carácter xeral para o corpo ou escala no que aspiren a ingresar e ter alomenos unha antigüidade de dous anos no corpo ou escala á que pertenzan.  No caso de acceso do grupo D ó C, da área de actividades ou funcional correspondente, tamén poderán participar na promoción interna aqueles/as traballadores/as que, non posuíndo a titulación</w:t>
      </w:r>
      <w:r>
        <w:rPr>
          <w:spacing w:val="-6"/>
          <w:sz w:val="22"/>
        </w:rPr>
        <w:t> </w:t>
      </w:r>
      <w:r>
        <w:rPr>
          <w:sz w:val="22"/>
        </w:rPr>
        <w:t>requirida,</w:t>
      </w:r>
      <w:r>
        <w:rPr>
          <w:spacing w:val="-5"/>
          <w:sz w:val="22"/>
        </w:rPr>
        <w:t> </w:t>
      </w:r>
      <w:r>
        <w:rPr>
          <w:sz w:val="22"/>
        </w:rPr>
        <w:t>teñan</w:t>
      </w:r>
      <w:r>
        <w:rPr>
          <w:spacing w:val="-6"/>
          <w:sz w:val="22"/>
        </w:rPr>
        <w:t> </w:t>
      </w:r>
      <w:r>
        <w:rPr>
          <w:sz w:val="22"/>
        </w:rPr>
        <w:t>unha</w:t>
      </w:r>
      <w:r>
        <w:rPr>
          <w:spacing w:val="-4"/>
          <w:sz w:val="22"/>
        </w:rPr>
        <w:t> </w:t>
      </w:r>
      <w:r>
        <w:rPr>
          <w:sz w:val="22"/>
        </w:rPr>
        <w:t>antigüidade</w:t>
      </w:r>
      <w:r>
        <w:rPr>
          <w:spacing w:val="-5"/>
          <w:sz w:val="22"/>
        </w:rPr>
        <w:t> </w:t>
      </w:r>
      <w:r>
        <w:rPr>
          <w:sz w:val="22"/>
        </w:rPr>
        <w:t>de</w:t>
      </w:r>
      <w:r>
        <w:rPr>
          <w:spacing w:val="-7"/>
          <w:sz w:val="22"/>
        </w:rPr>
        <w:t> </w:t>
      </w:r>
      <w:r>
        <w:rPr>
          <w:sz w:val="22"/>
        </w:rPr>
        <w:t>alomenos</w:t>
      </w:r>
      <w:r>
        <w:rPr>
          <w:spacing w:val="-5"/>
          <w:sz w:val="22"/>
        </w:rPr>
        <w:t> </w:t>
      </w:r>
      <w:r>
        <w:rPr>
          <w:sz w:val="22"/>
        </w:rPr>
        <w:t>10</w:t>
      </w:r>
      <w:r>
        <w:rPr>
          <w:spacing w:val="-6"/>
          <w:sz w:val="22"/>
        </w:rPr>
        <w:t> </w:t>
      </w:r>
      <w:r>
        <w:rPr>
          <w:sz w:val="22"/>
        </w:rPr>
        <w:t>anos.</w:t>
      </w:r>
    </w:p>
    <w:p>
      <w:pPr>
        <w:spacing w:after="0" w:line="240" w:lineRule="auto"/>
        <w:jc w:val="both"/>
        <w:rPr>
          <w:sz w:val="22"/>
        </w:rPr>
        <w:sectPr>
          <w:pgSz w:w="11910" w:h="16840"/>
          <w:pgMar w:top="1360" w:bottom="280" w:left="1600" w:right="1580"/>
        </w:sectPr>
      </w:pPr>
    </w:p>
    <w:p>
      <w:pPr>
        <w:pStyle w:val="BodyText"/>
        <w:spacing w:before="87"/>
      </w:pPr>
      <w:r>
        <w:rPr/>
        <w:t>Artigo 31º</w:t>
      </w:r>
    </w:p>
    <w:p>
      <w:pPr>
        <w:pStyle w:val="BodyText"/>
        <w:spacing w:before="3"/>
        <w:ind w:right="124"/>
      </w:pPr>
      <w:r>
        <w:rPr/>
        <w:t>A Corporación creará e dotará nos orzamentos anuais as prazas e postos de traballo que sexan precisos, tendo en conta os principios de racionalidade, economía e eficacia.</w:t>
      </w:r>
    </w:p>
    <w:p>
      <w:pPr>
        <w:pStyle w:val="BodyText"/>
        <w:spacing w:before="10"/>
        <w:ind w:left="0"/>
        <w:jc w:val="left"/>
        <w:rPr>
          <w:sz w:val="21"/>
        </w:rPr>
      </w:pPr>
    </w:p>
    <w:p>
      <w:pPr>
        <w:pStyle w:val="BodyText"/>
        <w:spacing w:line="268" w:lineRule="exact" w:before="1"/>
      </w:pPr>
      <w:r>
        <w:rPr/>
        <w:t>Artigo 32º</w:t>
      </w:r>
    </w:p>
    <w:p>
      <w:pPr>
        <w:pStyle w:val="BodyText"/>
        <w:ind w:right="125"/>
      </w:pPr>
      <w:r>
        <w:rPr/>
        <w:t>Condición indispensable para calquera clase de mobilidade, promoción ou provisión, é a previa existencia da relación dos postos de traballo debidamente aprobada polos órganos competentes.</w:t>
      </w:r>
    </w:p>
    <w:p>
      <w:pPr>
        <w:pStyle w:val="BodyText"/>
        <w:spacing w:before="2"/>
        <w:ind w:left="0"/>
        <w:jc w:val="left"/>
      </w:pPr>
    </w:p>
    <w:p>
      <w:pPr>
        <w:pStyle w:val="BodyText"/>
        <w:spacing w:line="268" w:lineRule="exact" w:before="1"/>
      </w:pPr>
      <w:r>
        <w:rPr/>
        <w:t>Artigo 33º</w:t>
      </w:r>
    </w:p>
    <w:p>
      <w:pPr>
        <w:pStyle w:val="BodyText"/>
        <w:spacing w:line="480" w:lineRule="auto"/>
        <w:ind w:right="37"/>
        <w:jc w:val="left"/>
      </w:pPr>
      <w:r>
        <w:rPr/>
        <w:t>Ningún posto de traballo poderá ser cuberto por adscrición indiscriminada ou arbitraria. Capítulo VIII</w:t>
      </w:r>
    </w:p>
    <w:p>
      <w:pPr>
        <w:pStyle w:val="BodyText"/>
        <w:spacing w:line="268" w:lineRule="exact"/>
      </w:pPr>
      <w:r>
        <w:rPr/>
        <w:t>Dereitos e deberes dos funcionarios</w:t>
      </w:r>
    </w:p>
    <w:p>
      <w:pPr>
        <w:pStyle w:val="BodyText"/>
        <w:spacing w:before="2"/>
        <w:ind w:left="0"/>
        <w:jc w:val="left"/>
      </w:pPr>
    </w:p>
    <w:p>
      <w:pPr>
        <w:pStyle w:val="BodyText"/>
        <w:spacing w:line="268" w:lineRule="exact" w:before="1"/>
      </w:pPr>
      <w:r>
        <w:rPr/>
        <w:t>Artigo 34º.-Dereitos e deberes.</w:t>
      </w:r>
    </w:p>
    <w:p>
      <w:pPr>
        <w:pStyle w:val="BodyText"/>
        <w:ind w:right="117"/>
      </w:pPr>
      <w:r>
        <w:rPr/>
        <w:t>Os dereitos e deberes do persoal ó servicio do Concello de Cedeira serán os establecidos na lexislación vixente. Mención expresa merece o dereito de emprega-lo idioma galego, tanto oral como por escrito, por parte dos/as traballadores/as, e o deber do concello de facilita-la formación neste terreo.</w:t>
      </w:r>
    </w:p>
    <w:p>
      <w:pPr>
        <w:pStyle w:val="BodyText"/>
        <w:spacing w:before="11"/>
        <w:ind w:left="0"/>
        <w:jc w:val="left"/>
        <w:rPr>
          <w:sz w:val="21"/>
        </w:rPr>
      </w:pPr>
    </w:p>
    <w:p>
      <w:pPr>
        <w:pStyle w:val="BodyText"/>
      </w:pPr>
      <w:r>
        <w:rPr/>
        <w:t>Artigo 35º.-Dereitos sindicais.</w:t>
      </w:r>
    </w:p>
    <w:p>
      <w:pPr>
        <w:pStyle w:val="BodyText"/>
        <w:spacing w:before="4"/>
        <w:ind w:right="130"/>
      </w:pPr>
      <w:r>
        <w:rPr/>
        <w:t>O concello facilitará os medios técnicos e material necesario para o normal desenvolvemento das funcións dos delegados/as de persoal: local para xuntanzas, salas para asembleas, fotocopiadora, teléfono, telefax, material de oficina, etc.</w:t>
      </w:r>
    </w:p>
    <w:p>
      <w:pPr>
        <w:pStyle w:val="BodyText"/>
        <w:spacing w:before="11"/>
        <w:ind w:left="0"/>
        <w:jc w:val="left"/>
        <w:rPr>
          <w:sz w:val="21"/>
        </w:rPr>
      </w:pPr>
    </w:p>
    <w:p>
      <w:pPr>
        <w:pStyle w:val="BodyText"/>
        <w:spacing w:line="268" w:lineRule="exact"/>
      </w:pPr>
      <w:r>
        <w:rPr/>
        <w:t>Artigo 36º.-Garantías sindicais.</w:t>
      </w:r>
    </w:p>
    <w:p>
      <w:pPr>
        <w:pStyle w:val="BodyText"/>
        <w:spacing w:line="242" w:lineRule="auto"/>
        <w:ind w:right="118"/>
      </w:pPr>
      <w:r>
        <w:rPr/>
        <w:t>Os/as delegados/as sindicais non poderán ser sancionados nin despedidos durante o exercicio das súas funcións, nin nos dous anos seguintes ó seu cesamento, como consecuencia de actividades sindicais.</w:t>
      </w:r>
    </w:p>
    <w:p>
      <w:pPr>
        <w:pStyle w:val="BodyText"/>
        <w:ind w:right="132"/>
      </w:pPr>
      <w:r>
        <w:rPr/>
        <w:t>Tampouco poderán ser trasladados de unidade, centro ou posto de traballo, en contra da súa vontade expresa durante o período antes citado.</w:t>
      </w:r>
    </w:p>
    <w:p>
      <w:pPr>
        <w:pStyle w:val="BodyText"/>
        <w:ind w:right="119"/>
      </w:pPr>
      <w:r>
        <w:rPr/>
        <w:t>Os/as delegados/as sindicais non poderán ser discriminados na súa promoción económica ou profesional en razón do desempeño da súa representación.</w:t>
      </w:r>
    </w:p>
    <w:p>
      <w:pPr>
        <w:pStyle w:val="BodyText"/>
        <w:spacing w:before="11"/>
        <w:ind w:left="0"/>
        <w:jc w:val="left"/>
        <w:rPr>
          <w:sz w:val="21"/>
        </w:rPr>
      </w:pPr>
    </w:p>
    <w:p>
      <w:pPr>
        <w:pStyle w:val="BodyText"/>
      </w:pPr>
      <w:r>
        <w:rPr/>
        <w:t>Capítulo IX</w:t>
      </w:r>
    </w:p>
    <w:p>
      <w:pPr>
        <w:pStyle w:val="BodyText"/>
        <w:spacing w:line="530" w:lineRule="atLeast" w:before="10"/>
        <w:ind w:right="5219"/>
        <w:jc w:val="left"/>
      </w:pPr>
      <w:r>
        <w:rPr/>
        <w:t>Seguridade e hixiene no traballo Artigo 37º</w:t>
      </w:r>
    </w:p>
    <w:p>
      <w:pPr>
        <w:pStyle w:val="BodyText"/>
        <w:ind w:right="125"/>
      </w:pPr>
      <w:r>
        <w:rPr/>
        <w:t>O concello obrígase a promover, fomentar e pór en aplicación unha axeitada política de seguridade e hixiene en todos e cada un dos departamentos, servicios e centros de traballo del dependentes, así como a desenvolve-la vixente Lei de prevención de riscos laborais.</w:t>
      </w:r>
    </w:p>
    <w:p>
      <w:pPr>
        <w:pStyle w:val="BodyText"/>
        <w:spacing w:before="2"/>
        <w:ind w:left="0"/>
        <w:jc w:val="left"/>
      </w:pPr>
    </w:p>
    <w:p>
      <w:pPr>
        <w:pStyle w:val="BodyText"/>
        <w:spacing w:line="268" w:lineRule="exact" w:before="1"/>
      </w:pPr>
      <w:r>
        <w:rPr/>
        <w:t>Artigo 38º.-Caixas de primeiros auxilios.</w:t>
      </w:r>
    </w:p>
    <w:p>
      <w:pPr>
        <w:pStyle w:val="BodyText"/>
        <w:ind w:right="117"/>
      </w:pPr>
      <w:r>
        <w:rPr/>
        <w:t>En tódolos centros de traballo haberá, como mínimo, unha caixa de primeiros auxilios sanitarios debidamente provista.</w:t>
      </w:r>
    </w:p>
    <w:p>
      <w:pPr>
        <w:pStyle w:val="BodyText"/>
        <w:spacing w:before="11"/>
        <w:ind w:left="0"/>
        <w:jc w:val="left"/>
        <w:rPr>
          <w:sz w:val="21"/>
        </w:rPr>
      </w:pPr>
    </w:p>
    <w:p>
      <w:pPr>
        <w:pStyle w:val="BodyText"/>
      </w:pPr>
      <w:r>
        <w:rPr/>
        <w:t>Artigo 39º.-Vestiario.</w:t>
      </w:r>
    </w:p>
    <w:p>
      <w:pPr>
        <w:spacing w:after="0"/>
        <w:sectPr>
          <w:pgSz w:w="11910" w:h="16840"/>
          <w:pgMar w:top="1580" w:bottom="280" w:left="1600" w:right="1580"/>
        </w:sectPr>
      </w:pPr>
    </w:p>
    <w:p>
      <w:pPr>
        <w:pStyle w:val="BodyText"/>
        <w:spacing w:before="39"/>
        <w:jc w:val="left"/>
      </w:pPr>
      <w:r>
        <w:rPr/>
        <w:t>Anualmente, antes das datas sinaladas neste, o concello facilitará a todo o persoal o material e roupa de traballo que se recolle no anexo 3.</w:t>
      </w:r>
    </w:p>
    <w:p>
      <w:pPr>
        <w:pStyle w:val="BodyText"/>
        <w:spacing w:before="2"/>
        <w:ind w:left="0"/>
        <w:jc w:val="left"/>
      </w:pPr>
    </w:p>
    <w:p>
      <w:pPr>
        <w:pStyle w:val="BodyText"/>
        <w:spacing w:line="268" w:lineRule="exact" w:before="1"/>
      </w:pPr>
      <w:r>
        <w:rPr/>
        <w:t>Disposiciones adicionais</w:t>
      </w:r>
    </w:p>
    <w:p>
      <w:pPr>
        <w:pStyle w:val="BodyText"/>
        <w:jc w:val="left"/>
      </w:pPr>
      <w:r>
        <w:rPr/>
        <w:t>Primeira.-Aqueles/as traballadores/as que non realicen a xornada completa verán reducidas as súas percepcións de xeito proporcional á xornada realmente traballada.</w:t>
      </w:r>
    </w:p>
    <w:p>
      <w:pPr>
        <w:pStyle w:val="BodyText"/>
        <w:spacing w:before="11"/>
        <w:ind w:left="0"/>
        <w:jc w:val="left"/>
        <w:rPr>
          <w:sz w:val="21"/>
        </w:rPr>
      </w:pPr>
    </w:p>
    <w:p>
      <w:pPr>
        <w:pStyle w:val="BodyText"/>
      </w:pPr>
      <w:r>
        <w:rPr/>
        <w:t>Cedeira, 23 de marzo de 2000.</w:t>
      </w:r>
    </w:p>
    <w:p>
      <w:pPr>
        <w:pStyle w:val="BodyText"/>
        <w:spacing w:before="11"/>
        <w:ind w:left="0"/>
        <w:jc w:val="left"/>
        <w:rPr>
          <w:sz w:val="21"/>
        </w:rPr>
      </w:pPr>
    </w:p>
    <w:p>
      <w:pPr>
        <w:pStyle w:val="BodyText"/>
      </w:pPr>
      <w:r>
        <w:rPr/>
        <w:t>ANEXO 1</w:t>
      </w:r>
    </w:p>
    <w:p>
      <w:pPr>
        <w:pStyle w:val="BodyText"/>
        <w:spacing w:before="2"/>
        <w:ind w:left="0"/>
        <w:jc w:val="left"/>
      </w:pPr>
    </w:p>
    <w:p>
      <w:pPr>
        <w:pStyle w:val="BodyText"/>
        <w:spacing w:before="1"/>
        <w:ind w:right="98"/>
      </w:pPr>
      <w:r>
        <w:rPr/>
        <w:t>De acordo co estipulado no artigo 9.2º do convenio colectivo do persoal laboral ó servicio do Concello de Cedeira, terán a consideración de días festivos para tódolos efectos e con carácter xeral para tódolos/as traballadores/as os que a seguir se relacionan:</w:t>
      </w:r>
    </w:p>
    <w:p>
      <w:pPr>
        <w:pStyle w:val="BodyText"/>
        <w:spacing w:line="268" w:lineRule="exact"/>
      </w:pPr>
      <w:r>
        <w:rPr/>
        <w:t>1 de xaneiro: Aninovo.</w:t>
      </w:r>
    </w:p>
    <w:p>
      <w:pPr>
        <w:pStyle w:val="BodyText"/>
        <w:ind w:right="5570"/>
        <w:jc w:val="left"/>
      </w:pPr>
      <w:r>
        <w:rPr/>
        <w:t>6 de xaneiro: Epifanía do Señor. 20 de abril: Xoves Santo.</w:t>
      </w:r>
    </w:p>
    <w:p>
      <w:pPr>
        <w:pStyle w:val="BodyText"/>
        <w:spacing w:line="268" w:lineRule="exact" w:before="3"/>
      </w:pPr>
      <w:r>
        <w:rPr/>
        <w:t>21 de abril: Venres Santo.</w:t>
      </w:r>
    </w:p>
    <w:p>
      <w:pPr>
        <w:pStyle w:val="BodyText"/>
        <w:spacing w:line="268" w:lineRule="exact"/>
      </w:pPr>
      <w:r>
        <w:rPr/>
        <w:t>1 de maio: Festa do Traballo.</w:t>
      </w:r>
    </w:p>
    <w:p>
      <w:pPr>
        <w:pStyle w:val="BodyText"/>
        <w:ind w:right="5257"/>
        <w:jc w:val="left"/>
      </w:pPr>
      <w:r>
        <w:rPr/>
        <w:t>17 de maio: Día das Letras Galegas. 13 de xuño: Santo Antón.</w:t>
      </w:r>
    </w:p>
    <w:p>
      <w:pPr>
        <w:pStyle w:val="BodyText"/>
        <w:ind w:right="5570"/>
        <w:jc w:val="left"/>
      </w:pPr>
      <w:r>
        <w:rPr/>
        <w:t>25 de xullo: Día da Patria Galega. 26 de xullo: Santa Ana.</w:t>
      </w:r>
    </w:p>
    <w:p>
      <w:pPr>
        <w:pStyle w:val="BodyText"/>
        <w:spacing w:line="268" w:lineRule="exact"/>
      </w:pPr>
      <w:r>
        <w:rPr/>
        <w:t>15 de agosto: Asunción da Virxe.</w:t>
      </w:r>
    </w:p>
    <w:p>
      <w:pPr>
        <w:pStyle w:val="BodyText"/>
        <w:spacing w:before="4"/>
        <w:ind w:right="5246"/>
        <w:jc w:val="left"/>
      </w:pPr>
      <w:r>
        <w:rPr/>
        <w:t>12 de outubro: Festa da Hispanidade. 1 de novembro: Tódolos Santos.</w:t>
      </w:r>
    </w:p>
    <w:p>
      <w:pPr>
        <w:pStyle w:val="BodyText"/>
        <w:ind w:right="4968"/>
        <w:jc w:val="left"/>
      </w:pPr>
      <w:r>
        <w:rPr/>
        <w:t>6 de decembro: Constitución Española. 8 de decembro: Inmaculada</w:t>
      </w:r>
      <w:r>
        <w:rPr>
          <w:spacing w:val="-24"/>
        </w:rPr>
        <w:t> </w:t>
      </w:r>
      <w:r>
        <w:rPr/>
        <w:t>Concepción. 25 de decembro: Natividade do</w:t>
      </w:r>
      <w:r>
        <w:rPr>
          <w:spacing w:val="-24"/>
        </w:rPr>
        <w:t> </w:t>
      </w:r>
      <w:r>
        <w:rPr/>
        <w:t>Señor.</w:t>
      </w:r>
    </w:p>
    <w:p>
      <w:pPr>
        <w:pStyle w:val="BodyText"/>
        <w:spacing w:before="11"/>
        <w:ind w:left="0"/>
        <w:jc w:val="left"/>
        <w:rPr>
          <w:sz w:val="21"/>
        </w:rPr>
      </w:pPr>
    </w:p>
    <w:p>
      <w:pPr>
        <w:pStyle w:val="BodyText"/>
      </w:pPr>
      <w:r>
        <w:rPr/>
        <w:t>ANEXO 2</w:t>
      </w:r>
    </w:p>
    <w:p>
      <w:pPr>
        <w:pStyle w:val="BodyText"/>
        <w:spacing w:before="3"/>
        <w:ind w:left="0"/>
        <w:jc w:val="left"/>
      </w:pPr>
    </w:p>
    <w:p>
      <w:pPr>
        <w:pStyle w:val="BodyText"/>
        <w:spacing w:line="268" w:lineRule="exact"/>
      </w:pPr>
      <w:r>
        <w:rPr/>
        <w:t>Horario da policía local:</w:t>
      </w:r>
    </w:p>
    <w:p>
      <w:pPr>
        <w:pStyle w:val="BodyText"/>
        <w:ind w:right="99"/>
      </w:pPr>
      <w:r>
        <w:rPr/>
        <w:t>Confeccionarase un cuadrante de servicios trimestralmente, respectando en todo caso o sinalado no artigo 11 do presente acordo regulador e garantindo que, salvo circunstancias excepcionais, os traballos se farán sempre en parellas, as cales rotarán periodicamente na súa composición, sen prexuízo de que, por necesidades do servicio, a Alcaldía poida modifica-lo cuadrante en calquera momento.</w:t>
      </w:r>
    </w:p>
    <w:p>
      <w:pPr>
        <w:pStyle w:val="BodyText"/>
        <w:spacing w:before="3"/>
        <w:ind w:right="5570"/>
        <w:jc w:val="left"/>
      </w:pPr>
      <w:r>
        <w:rPr/>
        <w:t>Horarios: mañá: de 8 a 15 horas. Tarde: de 15 a 22 horas.</w:t>
      </w:r>
    </w:p>
    <w:p>
      <w:pPr>
        <w:pStyle w:val="BodyText"/>
        <w:spacing w:before="11"/>
        <w:ind w:left="0"/>
        <w:jc w:val="left"/>
        <w:rPr>
          <w:sz w:val="21"/>
        </w:rPr>
      </w:pPr>
    </w:p>
    <w:p>
      <w:pPr>
        <w:pStyle w:val="BodyText"/>
      </w:pPr>
      <w:r>
        <w:rPr/>
        <w:t>ANEXO 3</w:t>
      </w:r>
    </w:p>
    <w:p>
      <w:pPr>
        <w:pStyle w:val="BodyText"/>
        <w:spacing w:before="11"/>
        <w:ind w:left="0"/>
        <w:jc w:val="left"/>
        <w:rPr>
          <w:sz w:val="21"/>
        </w:rPr>
      </w:pPr>
    </w:p>
    <w:p>
      <w:pPr>
        <w:pStyle w:val="BodyText"/>
        <w:jc w:val="left"/>
      </w:pPr>
      <w:r>
        <w:rPr/>
        <w:t>Pezas de roupa que se lles entregarán ós compoñentes da policía local, con indicación da cantidade e prazos en que se fará entrega de cada unha delas:</w:t>
      </w:r>
    </w:p>
    <w:p>
      <w:pPr>
        <w:pStyle w:val="BodyText"/>
        <w:spacing w:line="268" w:lineRule="exact"/>
      </w:pPr>
      <w:r>
        <w:rPr/>
        <w:t>Anualmente:</w:t>
      </w:r>
    </w:p>
    <w:p>
      <w:pPr>
        <w:pStyle w:val="BodyText"/>
        <w:spacing w:line="268" w:lineRule="exact" w:before="3"/>
      </w:pPr>
      <w:r>
        <w:rPr/>
        <w:t>-Un pantalón de inverno.</w:t>
      </w:r>
    </w:p>
    <w:p>
      <w:pPr>
        <w:pStyle w:val="BodyText"/>
        <w:spacing w:line="268" w:lineRule="exact"/>
      </w:pPr>
      <w:r>
        <w:rPr/>
        <w:t>-Un pantalón de verán.</w:t>
      </w:r>
    </w:p>
    <w:p>
      <w:pPr>
        <w:pStyle w:val="BodyText"/>
        <w:spacing w:line="268" w:lineRule="exact"/>
      </w:pPr>
      <w:r>
        <w:rPr/>
        <w:t>-Un pantalón de lona.</w:t>
      </w:r>
    </w:p>
    <w:p>
      <w:pPr>
        <w:pStyle w:val="BodyText"/>
        <w:spacing w:line="268" w:lineRule="exact"/>
      </w:pPr>
      <w:r>
        <w:rPr/>
        <w:t>-Dúas camisas de inverno.</w:t>
      </w:r>
    </w:p>
    <w:p>
      <w:pPr>
        <w:pStyle w:val="BodyText"/>
        <w:spacing w:line="268" w:lineRule="exact"/>
      </w:pPr>
      <w:r>
        <w:rPr/>
        <w:t>-Dúas camisas de verán.</w:t>
      </w:r>
    </w:p>
    <w:p>
      <w:pPr>
        <w:pStyle w:val="BodyText"/>
        <w:spacing w:line="268" w:lineRule="exact"/>
      </w:pPr>
      <w:r>
        <w:rPr/>
        <w:t>-Un par de zapatos de verán.</w:t>
      </w:r>
    </w:p>
    <w:p>
      <w:pPr>
        <w:spacing w:after="0" w:line="268" w:lineRule="exact"/>
        <w:sectPr>
          <w:pgSz w:w="11910" w:h="16840"/>
          <w:pgMar w:top="1360" w:bottom="280" w:left="1600" w:right="1600"/>
        </w:sectPr>
      </w:pPr>
    </w:p>
    <w:p>
      <w:pPr>
        <w:pStyle w:val="BodyText"/>
        <w:spacing w:line="268" w:lineRule="exact" w:before="39"/>
        <w:ind w:left="200" w:right="2791"/>
        <w:jc w:val="left"/>
      </w:pPr>
      <w:r>
        <w:rPr/>
        <w:t>Cada tres anos:</w:t>
      </w:r>
    </w:p>
    <w:p>
      <w:pPr>
        <w:pStyle w:val="BodyText"/>
        <w:ind w:left="200" w:right="2791"/>
        <w:jc w:val="left"/>
      </w:pPr>
      <w:r>
        <w:rPr/>
        <w:t>-Gorra tipo béisbol.</w:t>
      </w:r>
    </w:p>
    <w:p>
      <w:pPr>
        <w:pStyle w:val="BodyText"/>
        <w:spacing w:line="268" w:lineRule="exact" w:before="3"/>
        <w:ind w:left="200" w:right="2791"/>
        <w:jc w:val="left"/>
      </w:pPr>
      <w:r>
        <w:rPr/>
        <w:t>-Gorra de prato.</w:t>
      </w:r>
    </w:p>
    <w:p>
      <w:pPr>
        <w:pStyle w:val="BodyText"/>
        <w:spacing w:line="268" w:lineRule="exact"/>
        <w:ind w:left="200" w:right="2791"/>
        <w:jc w:val="left"/>
      </w:pPr>
      <w:r>
        <w:rPr/>
        <w:t>-Xersei.</w:t>
      </w:r>
    </w:p>
    <w:p>
      <w:pPr>
        <w:pStyle w:val="BodyText"/>
        <w:spacing w:line="268" w:lineRule="exact"/>
        <w:ind w:left="200" w:right="2791"/>
        <w:jc w:val="left"/>
      </w:pPr>
      <w:r>
        <w:rPr/>
        <w:t>-Cazadora guateada.</w:t>
      </w:r>
    </w:p>
    <w:p>
      <w:pPr>
        <w:pStyle w:val="BodyText"/>
        <w:spacing w:line="268" w:lineRule="exact"/>
        <w:ind w:left="200" w:right="2791"/>
        <w:jc w:val="left"/>
      </w:pPr>
      <w:r>
        <w:rPr/>
        <w:t>-Un par de botas.</w:t>
      </w:r>
    </w:p>
    <w:p>
      <w:pPr>
        <w:pStyle w:val="BodyText"/>
        <w:ind w:left="200" w:right="2791"/>
        <w:jc w:val="left"/>
      </w:pPr>
      <w:r>
        <w:rPr/>
        <w:t>-Unha guerreira.</w:t>
      </w:r>
    </w:p>
    <w:p>
      <w:pPr>
        <w:pStyle w:val="BodyText"/>
        <w:spacing w:line="268" w:lineRule="exact"/>
        <w:ind w:left="200" w:right="37"/>
        <w:jc w:val="left"/>
      </w:pPr>
      <w:r>
        <w:rPr/>
        <w:t>Sen determina-las datas de entrega, de xeito que se faga cando sexa preciso polo seu uso:</w:t>
      </w:r>
    </w:p>
    <w:p>
      <w:pPr>
        <w:pStyle w:val="BodyText"/>
        <w:spacing w:line="268" w:lineRule="exact"/>
        <w:ind w:left="200" w:right="2791"/>
        <w:jc w:val="left"/>
      </w:pPr>
      <w:r>
        <w:rPr/>
        <w:t>-Anorak reversible (auga/frío).</w:t>
      </w:r>
    </w:p>
    <w:p>
      <w:pPr>
        <w:pStyle w:val="BodyText"/>
        <w:spacing w:line="268" w:lineRule="exact"/>
        <w:ind w:left="200" w:right="2791"/>
        <w:jc w:val="left"/>
      </w:pPr>
      <w:r>
        <w:rPr/>
        <w:t>-Chuvasqueiro.</w:t>
      </w:r>
    </w:p>
    <w:p>
      <w:pPr>
        <w:pStyle w:val="BodyText"/>
        <w:spacing w:line="268" w:lineRule="exact" w:before="3"/>
        <w:ind w:left="200" w:right="2791"/>
        <w:jc w:val="left"/>
      </w:pPr>
      <w:r>
        <w:rPr/>
        <w:t>-Guantes.</w:t>
      </w:r>
    </w:p>
    <w:p>
      <w:pPr>
        <w:pStyle w:val="BodyText"/>
        <w:spacing w:line="268" w:lineRule="exact"/>
        <w:ind w:left="200" w:right="2791"/>
        <w:jc w:val="left"/>
      </w:pPr>
      <w:r>
        <w:rPr/>
        <w:t>-Chaleco reflectante.</w:t>
      </w:r>
    </w:p>
    <w:p>
      <w:pPr>
        <w:pStyle w:val="BodyText"/>
        <w:spacing w:line="268" w:lineRule="exact"/>
        <w:ind w:left="200" w:right="2791"/>
        <w:jc w:val="left"/>
      </w:pPr>
      <w:r>
        <w:rPr/>
        <w:t>-Pantalóns de augas.</w:t>
      </w:r>
    </w:p>
    <w:p>
      <w:pPr>
        <w:pStyle w:val="BodyText"/>
        <w:spacing w:line="268" w:lineRule="exact"/>
        <w:ind w:left="200" w:right="2791"/>
        <w:jc w:val="left"/>
      </w:pPr>
      <w:r>
        <w:rPr/>
        <w:t>-Botas de auga.</w:t>
      </w:r>
    </w:p>
    <w:p>
      <w:pPr>
        <w:pStyle w:val="BodyText"/>
        <w:spacing w:line="268" w:lineRule="exact"/>
        <w:ind w:left="200" w:right="793"/>
        <w:jc w:val="left"/>
      </w:pPr>
      <w:r>
        <w:rPr/>
        <w:t>Vestiario que se lle entregará con carácter anual ó operario de servicios:</w:t>
      </w:r>
    </w:p>
    <w:p>
      <w:pPr>
        <w:pStyle w:val="BodyText"/>
        <w:spacing w:line="268" w:lineRule="exact"/>
        <w:ind w:left="200" w:right="2791"/>
        <w:jc w:val="left"/>
      </w:pPr>
      <w:r>
        <w:rPr/>
        <w:t>-3 fundas con reflectantes.</w:t>
      </w:r>
    </w:p>
    <w:p>
      <w:pPr>
        <w:pStyle w:val="BodyText"/>
        <w:ind w:left="200" w:right="2791"/>
        <w:jc w:val="left"/>
      </w:pPr>
      <w:r>
        <w:rPr/>
        <w:t>-1 par de botas de auga.</w:t>
      </w:r>
    </w:p>
    <w:p>
      <w:pPr>
        <w:pStyle w:val="BodyText"/>
        <w:spacing w:line="268" w:lineRule="exact" w:before="3"/>
        <w:ind w:left="200" w:right="2791"/>
        <w:jc w:val="left"/>
      </w:pPr>
      <w:r>
        <w:rPr/>
        <w:t>-1 traxe de augas.</w:t>
      </w:r>
    </w:p>
    <w:p>
      <w:pPr>
        <w:pStyle w:val="BodyText"/>
        <w:spacing w:line="268" w:lineRule="exact"/>
        <w:ind w:left="200" w:right="2791"/>
        <w:jc w:val="left"/>
      </w:pPr>
      <w:r>
        <w:rPr/>
        <w:t>-1 zapatóns de seguridade.</w:t>
      </w:r>
    </w:p>
    <w:p>
      <w:pPr>
        <w:pStyle w:val="BodyText"/>
        <w:ind w:left="200" w:right="2787"/>
        <w:jc w:val="left"/>
      </w:pPr>
      <w:r>
        <w:rPr/>
        <w:t>-Guantes especiais de goma e de loneta (os que sexan precisos). Vestiario que se lle entregará con carácter anual á limpadora:</w:t>
      </w:r>
    </w:p>
    <w:p>
      <w:pPr>
        <w:pStyle w:val="BodyText"/>
        <w:spacing w:line="268" w:lineRule="exact"/>
        <w:ind w:left="200" w:right="2791"/>
        <w:jc w:val="left"/>
      </w:pPr>
      <w:r>
        <w:rPr/>
        <w:t>-2 mandís.</w:t>
      </w:r>
    </w:p>
    <w:p>
      <w:pPr>
        <w:pStyle w:val="BodyText"/>
        <w:spacing w:line="482" w:lineRule="auto"/>
        <w:ind w:left="200" w:right="939"/>
        <w:jc w:val="left"/>
      </w:pPr>
      <w:r>
        <w:rPr/>
        <w:t>En todo caso, a roupa estará homologada de acordo coa normativa específica. ANEXO 4</w:t>
      </w:r>
    </w:p>
    <w:p>
      <w:pPr>
        <w:pStyle w:val="BodyText"/>
        <w:spacing w:line="265" w:lineRule="exact"/>
        <w:ind w:left="200" w:right="2791"/>
        <w:jc w:val="left"/>
      </w:pPr>
      <w:r>
        <w:rPr/>
        <w:pict>
          <v:shapetype id="_x0000_t202" o:spt="202" coordsize="21600,21600" path="m,l,21600r21600,l21600,xe">
            <v:stroke joinstyle="miter"/>
            <v:path gradientshapeok="t" o:connecttype="rect"/>
          </v:shapetype>
          <v:shape style="position:absolute;margin-left:80.625pt;margin-top:12.083883pt;width:260.4pt;height:222.45pt;mso-position-horizontal-relative:page;mso-position-vertical-relative:paragraph;z-index:1072" type="#_x0000_t202" filled="false" stroked="false">
            <v:textbox inset="0,0,0,0">
              <w:txbxContent>
                <w:tbl>
                  <w:tblPr>
                    <w:tblW w:w="0" w:type="auto"/>
                    <w:jc w:val="left"/>
                    <w:tblBorders>
                      <w:top w:val="single" w:sz="22" w:space="0" w:color="9F9F9F"/>
                      <w:left w:val="single" w:sz="22" w:space="0" w:color="9F9F9F"/>
                      <w:bottom w:val="single" w:sz="22" w:space="0" w:color="9F9F9F"/>
                      <w:right w:val="single" w:sz="22" w:space="0" w:color="9F9F9F"/>
                      <w:insideH w:val="single" w:sz="22" w:space="0" w:color="9F9F9F"/>
                      <w:insideV w:val="single" w:sz="22" w:space="0" w:color="9F9F9F"/>
                    </w:tblBorders>
                    <w:tblLayout w:type="fixed"/>
                    <w:tblCellMar>
                      <w:top w:w="0" w:type="dxa"/>
                      <w:left w:w="0" w:type="dxa"/>
                      <w:bottom w:w="0" w:type="dxa"/>
                      <w:right w:w="0" w:type="dxa"/>
                    </w:tblCellMar>
                    <w:tblLook w:val="01E0"/>
                  </w:tblPr>
                  <w:tblGrid>
                    <w:gridCol w:w="596"/>
                    <w:gridCol w:w="655"/>
                    <w:gridCol w:w="226"/>
                    <w:gridCol w:w="224"/>
                    <w:gridCol w:w="266"/>
                    <w:gridCol w:w="326"/>
                    <w:gridCol w:w="129"/>
                    <w:gridCol w:w="232"/>
                    <w:gridCol w:w="194"/>
                    <w:gridCol w:w="432"/>
                    <w:gridCol w:w="146"/>
                    <w:gridCol w:w="704"/>
                    <w:gridCol w:w="1000"/>
                  </w:tblGrid>
                  <w:tr>
                    <w:trPr>
                      <w:trHeight w:val="414" w:hRule="exact"/>
                    </w:trPr>
                    <w:tc>
                      <w:tcPr>
                        <w:tcW w:w="596" w:type="dxa"/>
                        <w:tcBorders>
                          <w:top w:val="single" w:sz="24" w:space="0" w:color="9F9F9F"/>
                          <w:left w:val="single" w:sz="21" w:space="0" w:color="EFEFEF"/>
                          <w:bottom w:val="single" w:sz="5" w:space="0" w:color="9F9F9F"/>
                          <w:right w:val="single" w:sz="24" w:space="0" w:color="9F9F9F"/>
                        </w:tcBorders>
                      </w:tcPr>
                      <w:p>
                        <w:pPr>
                          <w:pStyle w:val="TableParagraph"/>
                          <w:spacing w:before="38"/>
                          <w:ind w:left="36" w:right="-5"/>
                          <w:rPr>
                            <w:sz w:val="22"/>
                          </w:rPr>
                        </w:pPr>
                        <w:r>
                          <w:rPr>
                            <w:sz w:val="22"/>
                          </w:rPr>
                          <w:t>Praza</w:t>
                        </w:r>
                      </w:p>
                    </w:tc>
                    <w:tc>
                      <w:tcPr>
                        <w:tcW w:w="655" w:type="dxa"/>
                        <w:tcBorders>
                          <w:top w:val="single" w:sz="24" w:space="0" w:color="9F9F9F"/>
                          <w:left w:val="single" w:sz="24" w:space="0" w:color="9F9F9F"/>
                          <w:bottom w:val="single" w:sz="5" w:space="0" w:color="9F9F9F"/>
                        </w:tcBorders>
                      </w:tcPr>
                      <w:p>
                        <w:pPr>
                          <w:pStyle w:val="TableParagraph"/>
                          <w:spacing w:before="38"/>
                          <w:ind w:left="15" w:right="-2"/>
                          <w:rPr>
                            <w:sz w:val="22"/>
                          </w:rPr>
                        </w:pPr>
                        <w:r>
                          <w:rPr>
                            <w:sz w:val="22"/>
                          </w:rPr>
                          <w:t>Grupo</w:t>
                        </w:r>
                      </w:p>
                    </w:tc>
                    <w:tc>
                      <w:tcPr>
                        <w:tcW w:w="716" w:type="dxa"/>
                        <w:gridSpan w:val="3"/>
                        <w:tcBorders>
                          <w:top w:val="single" w:sz="24" w:space="0" w:color="9F9F9F"/>
                          <w:bottom w:val="single" w:sz="5" w:space="0" w:color="9F9F9F"/>
                        </w:tcBorders>
                      </w:tcPr>
                      <w:p>
                        <w:pPr>
                          <w:pStyle w:val="TableParagraph"/>
                          <w:spacing w:before="38"/>
                          <w:ind w:left="15" w:right="-1"/>
                          <w:rPr>
                            <w:sz w:val="22"/>
                          </w:rPr>
                        </w:pPr>
                        <w:r>
                          <w:rPr>
                            <w:sz w:val="22"/>
                          </w:rPr>
                          <w:t>Trienio</w:t>
                        </w:r>
                      </w:p>
                    </w:tc>
                    <w:tc>
                      <w:tcPr>
                        <w:tcW w:w="455" w:type="dxa"/>
                        <w:gridSpan w:val="2"/>
                        <w:tcBorders>
                          <w:top w:val="single" w:sz="24" w:space="0" w:color="9F9F9F"/>
                          <w:bottom w:val="single" w:sz="5" w:space="0" w:color="9F9F9F"/>
                          <w:right w:val="single" w:sz="24" w:space="0" w:color="9F9F9F"/>
                        </w:tcBorders>
                      </w:tcPr>
                      <w:p>
                        <w:pPr>
                          <w:pStyle w:val="TableParagraph"/>
                          <w:spacing w:before="38"/>
                          <w:ind w:left="15" w:right="-3"/>
                          <w:rPr>
                            <w:sz w:val="22"/>
                          </w:rPr>
                        </w:pPr>
                        <w:r>
                          <w:rPr>
                            <w:sz w:val="22"/>
                          </w:rPr>
                          <w:t>C.D.</w:t>
                        </w:r>
                      </w:p>
                    </w:tc>
                    <w:tc>
                      <w:tcPr>
                        <w:tcW w:w="426" w:type="dxa"/>
                        <w:gridSpan w:val="2"/>
                        <w:tcBorders>
                          <w:top w:val="single" w:sz="24" w:space="0" w:color="9F9F9F"/>
                          <w:left w:val="single" w:sz="24" w:space="0" w:color="9F9F9F"/>
                          <w:bottom w:val="single" w:sz="5" w:space="0" w:color="9F9F9F"/>
                        </w:tcBorders>
                      </w:tcPr>
                      <w:p>
                        <w:pPr>
                          <w:pStyle w:val="TableParagraph"/>
                          <w:spacing w:before="38"/>
                          <w:ind w:left="15" w:right="-3"/>
                          <w:rPr>
                            <w:sz w:val="22"/>
                          </w:rPr>
                        </w:pPr>
                        <w:r>
                          <w:rPr>
                            <w:sz w:val="22"/>
                          </w:rPr>
                          <w:t>C.E.</w:t>
                        </w:r>
                      </w:p>
                    </w:tc>
                    <w:tc>
                      <w:tcPr>
                        <w:tcW w:w="432" w:type="dxa"/>
                        <w:tcBorders>
                          <w:top w:val="single" w:sz="24" w:space="0" w:color="9F9F9F"/>
                          <w:bottom w:val="single" w:sz="5" w:space="0" w:color="9F9F9F"/>
                        </w:tcBorders>
                      </w:tcPr>
                      <w:p>
                        <w:pPr>
                          <w:pStyle w:val="TableParagraph"/>
                          <w:spacing w:before="38"/>
                          <w:ind w:left="15" w:right="-2"/>
                          <w:rPr>
                            <w:sz w:val="22"/>
                          </w:rPr>
                        </w:pPr>
                        <w:r>
                          <w:rPr>
                            <w:sz w:val="22"/>
                          </w:rPr>
                          <w:t>C.P.</w:t>
                        </w:r>
                      </w:p>
                    </w:tc>
                    <w:tc>
                      <w:tcPr>
                        <w:tcW w:w="850" w:type="dxa"/>
                        <w:gridSpan w:val="2"/>
                        <w:tcBorders>
                          <w:top w:val="single" w:sz="24" w:space="0" w:color="9F9F9F"/>
                          <w:bottom w:val="single" w:sz="5" w:space="0" w:color="9F9F9F"/>
                          <w:right w:val="single" w:sz="21" w:space="0" w:color="9F9F9F"/>
                        </w:tcBorders>
                      </w:tcPr>
                      <w:p>
                        <w:pPr>
                          <w:pStyle w:val="TableParagraph"/>
                          <w:spacing w:before="38"/>
                          <w:ind w:left="19"/>
                          <w:rPr>
                            <w:sz w:val="22"/>
                          </w:rPr>
                        </w:pPr>
                        <w:r>
                          <w:rPr>
                            <w:sz w:val="22"/>
                          </w:rPr>
                          <w:t>S. Anual</w:t>
                        </w:r>
                      </w:p>
                    </w:tc>
                    <w:tc>
                      <w:tcPr>
                        <w:tcW w:w="1000" w:type="dxa"/>
                        <w:tcBorders>
                          <w:top w:val="nil"/>
                          <w:left w:val="single" w:sz="21" w:space="0" w:color="9F9F9F"/>
                          <w:bottom w:val="single" w:sz="24" w:space="0" w:color="9F9F9F"/>
                          <w:right w:val="nil"/>
                        </w:tcBorders>
                      </w:tcPr>
                      <w:p>
                        <w:pPr/>
                      </w:p>
                    </w:tc>
                  </w:tr>
                  <w:tr>
                    <w:trPr>
                      <w:trHeight w:val="366" w:hRule="exact"/>
                    </w:trPr>
                    <w:tc>
                      <w:tcPr>
                        <w:tcW w:w="1477" w:type="dxa"/>
                        <w:gridSpan w:val="3"/>
                        <w:tcBorders>
                          <w:top w:val="single" w:sz="5" w:space="0" w:color="9F9F9F"/>
                          <w:left w:val="single" w:sz="21" w:space="0" w:color="EFEFEF"/>
                        </w:tcBorders>
                      </w:tcPr>
                      <w:p>
                        <w:pPr>
                          <w:pStyle w:val="TableParagraph"/>
                          <w:spacing w:before="64"/>
                          <w:ind w:left="36" w:right="-24"/>
                          <w:rPr>
                            <w:sz w:val="22"/>
                          </w:rPr>
                        </w:pPr>
                        <w:r>
                          <w:rPr>
                            <w:sz w:val="22"/>
                          </w:rPr>
                          <w:t>Secretaría</w:t>
                        </w:r>
                      </w:p>
                    </w:tc>
                    <w:tc>
                      <w:tcPr>
                        <w:tcW w:w="224" w:type="dxa"/>
                        <w:tcBorders>
                          <w:top w:val="single" w:sz="5" w:space="0" w:color="9F9F9F"/>
                          <w:right w:val="single" w:sz="24" w:space="0" w:color="9F9F9F"/>
                        </w:tcBorders>
                      </w:tcPr>
                      <w:p>
                        <w:pPr>
                          <w:pStyle w:val="TableParagraph"/>
                          <w:spacing w:before="64"/>
                          <w:ind w:left="42" w:right="-4"/>
                          <w:jc w:val="center"/>
                          <w:rPr>
                            <w:sz w:val="22"/>
                          </w:rPr>
                        </w:pPr>
                        <w:r>
                          <w:rPr>
                            <w:sz w:val="22"/>
                          </w:rPr>
                          <w:t>A</w:t>
                        </w:r>
                      </w:p>
                    </w:tc>
                    <w:tc>
                      <w:tcPr>
                        <w:tcW w:w="592" w:type="dxa"/>
                        <w:gridSpan w:val="2"/>
                        <w:tcBorders>
                          <w:top w:val="single" w:sz="5" w:space="0" w:color="9F9F9F"/>
                          <w:left w:val="single" w:sz="24" w:space="0" w:color="9F9F9F"/>
                          <w:right w:val="single" w:sz="24" w:space="0" w:color="9F9F9F"/>
                        </w:tcBorders>
                      </w:tcPr>
                      <w:p>
                        <w:pPr>
                          <w:pStyle w:val="TableParagraph"/>
                          <w:spacing w:before="64"/>
                          <w:ind w:right="-30"/>
                          <w:rPr>
                            <w:sz w:val="22"/>
                          </w:rPr>
                        </w:pPr>
                        <w:r>
                          <w:rPr>
                            <w:sz w:val="22"/>
                          </w:rPr>
                          <w:t>6.191</w:t>
                        </w:r>
                      </w:p>
                    </w:tc>
                    <w:tc>
                      <w:tcPr>
                        <w:tcW w:w="361" w:type="dxa"/>
                        <w:gridSpan w:val="2"/>
                        <w:tcBorders>
                          <w:top w:val="single" w:sz="5" w:space="0" w:color="9F9F9F"/>
                          <w:left w:val="single" w:sz="24" w:space="0" w:color="9F9F9F"/>
                        </w:tcBorders>
                      </w:tcPr>
                      <w:p>
                        <w:pPr>
                          <w:pStyle w:val="TableParagraph"/>
                          <w:spacing w:before="64"/>
                          <w:rPr>
                            <w:sz w:val="22"/>
                          </w:rPr>
                        </w:pPr>
                        <w:r>
                          <w:rPr>
                            <w:sz w:val="22"/>
                          </w:rPr>
                          <w:t>26</w:t>
                        </w:r>
                      </w:p>
                    </w:tc>
                    <w:tc>
                      <w:tcPr>
                        <w:tcW w:w="772" w:type="dxa"/>
                        <w:gridSpan w:val="3"/>
                        <w:tcBorders>
                          <w:top w:val="single" w:sz="5" w:space="0" w:color="9F9F9F"/>
                        </w:tcBorders>
                      </w:tcPr>
                      <w:p>
                        <w:pPr>
                          <w:pStyle w:val="TableParagraph"/>
                          <w:spacing w:before="64"/>
                          <w:ind w:left="-6" w:right="-23"/>
                          <w:rPr>
                            <w:sz w:val="22"/>
                          </w:rPr>
                        </w:pPr>
                        <w:r>
                          <w:rPr>
                            <w:sz w:val="22"/>
                          </w:rPr>
                          <w:t>207.886</w:t>
                        </w:r>
                      </w:p>
                    </w:tc>
                    <w:tc>
                      <w:tcPr>
                        <w:tcW w:w="704" w:type="dxa"/>
                        <w:tcBorders>
                          <w:top w:val="single" w:sz="5" w:space="0" w:color="9F9F9F"/>
                        </w:tcBorders>
                      </w:tcPr>
                      <w:p>
                        <w:pPr>
                          <w:pStyle w:val="TableParagraph"/>
                          <w:spacing w:before="64"/>
                          <w:ind w:left="0" w:right="-6"/>
                          <w:jc w:val="right"/>
                          <w:rPr>
                            <w:sz w:val="22"/>
                          </w:rPr>
                        </w:pPr>
                        <w:r>
                          <w:rPr>
                            <w:sz w:val="22"/>
                          </w:rPr>
                          <w:t>69.296</w:t>
                        </w:r>
                      </w:p>
                    </w:tc>
                    <w:tc>
                      <w:tcPr>
                        <w:tcW w:w="1000" w:type="dxa"/>
                        <w:tcBorders>
                          <w:top w:val="single" w:sz="24" w:space="0" w:color="9F9F9F"/>
                          <w:right w:val="single" w:sz="21" w:space="0" w:color="9F9F9F"/>
                        </w:tcBorders>
                      </w:tcPr>
                      <w:p>
                        <w:pPr>
                          <w:pStyle w:val="TableParagraph"/>
                          <w:spacing w:before="40"/>
                          <w:ind w:left="26"/>
                          <w:jc w:val="center"/>
                          <w:rPr>
                            <w:sz w:val="22"/>
                          </w:rPr>
                        </w:pPr>
                        <w:r>
                          <w:rPr>
                            <w:sz w:val="22"/>
                          </w:rPr>
                          <w:t>6.806.908</w:t>
                        </w:r>
                      </w:p>
                    </w:tc>
                  </w:tr>
                  <w:tr>
                    <w:trPr>
                      <w:trHeight w:val="356" w:hRule="exact"/>
                    </w:trPr>
                    <w:tc>
                      <w:tcPr>
                        <w:tcW w:w="1477" w:type="dxa"/>
                        <w:gridSpan w:val="3"/>
                        <w:tcBorders>
                          <w:left w:val="single" w:sz="21" w:space="0" w:color="EFEFEF"/>
                        </w:tcBorders>
                      </w:tcPr>
                      <w:p>
                        <w:pPr>
                          <w:pStyle w:val="TableParagraph"/>
                          <w:ind w:left="36" w:right="-24"/>
                          <w:rPr>
                            <w:sz w:val="22"/>
                          </w:rPr>
                        </w:pPr>
                        <w:r>
                          <w:rPr>
                            <w:sz w:val="22"/>
                          </w:rPr>
                          <w:t>Intervención</w:t>
                        </w:r>
                      </w:p>
                    </w:tc>
                    <w:tc>
                      <w:tcPr>
                        <w:tcW w:w="224" w:type="dxa"/>
                        <w:tcBorders>
                          <w:right w:val="single" w:sz="24" w:space="0" w:color="9F9F9F"/>
                        </w:tcBorders>
                      </w:tcPr>
                      <w:p>
                        <w:pPr>
                          <w:pStyle w:val="TableParagraph"/>
                          <w:ind w:left="42" w:right="-4"/>
                          <w:jc w:val="center"/>
                          <w:rPr>
                            <w:sz w:val="22"/>
                          </w:rPr>
                        </w:pPr>
                        <w:r>
                          <w:rPr>
                            <w:sz w:val="22"/>
                          </w:rPr>
                          <w:t>A</w:t>
                        </w:r>
                      </w:p>
                    </w:tc>
                    <w:tc>
                      <w:tcPr>
                        <w:tcW w:w="592" w:type="dxa"/>
                        <w:gridSpan w:val="2"/>
                        <w:tcBorders>
                          <w:left w:val="single" w:sz="24" w:space="0" w:color="9F9F9F"/>
                          <w:right w:val="single" w:sz="24" w:space="0" w:color="9F9F9F"/>
                        </w:tcBorders>
                      </w:tcPr>
                      <w:p>
                        <w:pPr>
                          <w:pStyle w:val="TableParagraph"/>
                          <w:ind w:right="-30"/>
                          <w:rPr>
                            <w:sz w:val="22"/>
                          </w:rPr>
                        </w:pPr>
                        <w:r>
                          <w:rPr>
                            <w:sz w:val="22"/>
                          </w:rPr>
                          <w:t>6.191</w:t>
                        </w:r>
                      </w:p>
                    </w:tc>
                    <w:tc>
                      <w:tcPr>
                        <w:tcW w:w="361" w:type="dxa"/>
                        <w:gridSpan w:val="2"/>
                        <w:tcBorders>
                          <w:left w:val="single" w:sz="24" w:space="0" w:color="9F9F9F"/>
                          <w:bottom w:val="single" w:sz="5" w:space="0" w:color="EFEFEF"/>
                        </w:tcBorders>
                      </w:tcPr>
                      <w:p>
                        <w:pPr>
                          <w:pStyle w:val="TableParagraph"/>
                          <w:rPr>
                            <w:sz w:val="22"/>
                          </w:rPr>
                        </w:pPr>
                        <w:r>
                          <w:rPr>
                            <w:sz w:val="22"/>
                          </w:rPr>
                          <w:t>22</w:t>
                        </w:r>
                      </w:p>
                    </w:tc>
                    <w:tc>
                      <w:tcPr>
                        <w:tcW w:w="772" w:type="dxa"/>
                        <w:gridSpan w:val="3"/>
                      </w:tcPr>
                      <w:p>
                        <w:pPr>
                          <w:pStyle w:val="TableParagraph"/>
                          <w:ind w:left="-6" w:right="-23"/>
                          <w:rPr>
                            <w:sz w:val="22"/>
                          </w:rPr>
                        </w:pPr>
                        <w:r>
                          <w:rPr>
                            <w:sz w:val="22"/>
                          </w:rPr>
                          <w:t>156.835</w:t>
                        </w:r>
                      </w:p>
                    </w:tc>
                    <w:tc>
                      <w:tcPr>
                        <w:tcW w:w="704" w:type="dxa"/>
                      </w:tcPr>
                      <w:p>
                        <w:pPr>
                          <w:pStyle w:val="TableParagraph"/>
                          <w:ind w:left="0" w:right="-6"/>
                          <w:jc w:val="right"/>
                          <w:rPr>
                            <w:sz w:val="22"/>
                          </w:rPr>
                        </w:pPr>
                        <w:r>
                          <w:rPr>
                            <w:sz w:val="22"/>
                          </w:rPr>
                          <w:t>36.720</w:t>
                        </w:r>
                      </w:p>
                    </w:tc>
                    <w:tc>
                      <w:tcPr>
                        <w:tcW w:w="1000" w:type="dxa"/>
                        <w:tcBorders>
                          <w:right w:val="single" w:sz="21" w:space="0" w:color="9F9F9F"/>
                        </w:tcBorders>
                      </w:tcPr>
                      <w:p>
                        <w:pPr>
                          <w:pStyle w:val="TableParagraph"/>
                          <w:ind w:left="26"/>
                          <w:jc w:val="center"/>
                          <w:rPr>
                            <w:sz w:val="22"/>
                          </w:rPr>
                        </w:pPr>
                        <w:r>
                          <w:rPr>
                            <w:sz w:val="22"/>
                          </w:rPr>
                          <w:t>5.473.096</w:t>
                        </w:r>
                      </w:p>
                    </w:tc>
                  </w:tr>
                  <w:tr>
                    <w:trPr>
                      <w:trHeight w:val="405" w:hRule="exact"/>
                    </w:trPr>
                    <w:tc>
                      <w:tcPr>
                        <w:tcW w:w="1477" w:type="dxa"/>
                        <w:gridSpan w:val="3"/>
                        <w:tcBorders>
                          <w:left w:val="single" w:sz="21" w:space="0" w:color="EFEFEF"/>
                        </w:tcBorders>
                      </w:tcPr>
                      <w:p>
                        <w:pPr>
                          <w:pStyle w:val="TableParagraph"/>
                          <w:spacing w:before="40"/>
                          <w:ind w:left="36" w:right="-24"/>
                          <w:rPr>
                            <w:sz w:val="22"/>
                          </w:rPr>
                        </w:pPr>
                        <w:r>
                          <w:rPr>
                            <w:sz w:val="22"/>
                          </w:rPr>
                          <w:t>Tesourería</w:t>
                        </w:r>
                      </w:p>
                    </w:tc>
                    <w:tc>
                      <w:tcPr>
                        <w:tcW w:w="224" w:type="dxa"/>
                        <w:tcBorders>
                          <w:right w:val="single" w:sz="24" w:space="0" w:color="9F9F9F"/>
                        </w:tcBorders>
                      </w:tcPr>
                      <w:p>
                        <w:pPr>
                          <w:pStyle w:val="TableParagraph"/>
                          <w:spacing w:before="40"/>
                          <w:ind w:left="37"/>
                          <w:jc w:val="center"/>
                          <w:rPr>
                            <w:sz w:val="22"/>
                          </w:rPr>
                        </w:pPr>
                        <w:r>
                          <w:rPr>
                            <w:sz w:val="22"/>
                          </w:rPr>
                          <w:t>B</w:t>
                        </w:r>
                      </w:p>
                    </w:tc>
                    <w:tc>
                      <w:tcPr>
                        <w:tcW w:w="592" w:type="dxa"/>
                        <w:gridSpan w:val="2"/>
                        <w:tcBorders>
                          <w:left w:val="single" w:sz="24" w:space="0" w:color="9F9F9F"/>
                          <w:right w:val="single" w:sz="5" w:space="0" w:color="EFEFEF"/>
                        </w:tcBorders>
                      </w:tcPr>
                      <w:p>
                        <w:pPr>
                          <w:pStyle w:val="TableParagraph"/>
                          <w:spacing w:before="40"/>
                          <w:ind w:right="-6"/>
                          <w:rPr>
                            <w:sz w:val="22"/>
                          </w:rPr>
                        </w:pPr>
                        <w:r>
                          <w:rPr>
                            <w:sz w:val="22"/>
                          </w:rPr>
                          <w:t>4.953</w:t>
                        </w:r>
                      </w:p>
                    </w:tc>
                    <w:tc>
                      <w:tcPr>
                        <w:tcW w:w="361" w:type="dxa"/>
                        <w:gridSpan w:val="2"/>
                        <w:tcBorders>
                          <w:top w:val="single" w:sz="5" w:space="0" w:color="EFEFEF"/>
                          <w:left w:val="single" w:sz="5" w:space="0" w:color="EFEFEF"/>
                          <w:bottom w:val="single" w:sz="5" w:space="0" w:color="9F9F9F"/>
                          <w:right w:val="single" w:sz="5" w:space="0" w:color="9F9F9F"/>
                        </w:tcBorders>
                      </w:tcPr>
                      <w:p>
                        <w:pPr>
                          <w:pStyle w:val="TableParagraph"/>
                          <w:spacing w:before="62"/>
                          <w:ind w:left="64"/>
                          <w:rPr>
                            <w:sz w:val="22"/>
                          </w:rPr>
                        </w:pPr>
                        <w:r>
                          <w:rPr>
                            <w:sz w:val="22"/>
                          </w:rPr>
                          <w:t>22</w:t>
                        </w:r>
                      </w:p>
                    </w:tc>
                    <w:tc>
                      <w:tcPr>
                        <w:tcW w:w="772" w:type="dxa"/>
                        <w:gridSpan w:val="3"/>
                        <w:tcBorders>
                          <w:left w:val="single" w:sz="5" w:space="0" w:color="9F9F9F"/>
                        </w:tcBorders>
                      </w:tcPr>
                      <w:p>
                        <w:pPr>
                          <w:pStyle w:val="TableParagraph"/>
                          <w:spacing w:before="40"/>
                          <w:ind w:left="16" w:right="-23"/>
                          <w:rPr>
                            <w:sz w:val="22"/>
                          </w:rPr>
                        </w:pPr>
                        <w:r>
                          <w:rPr>
                            <w:sz w:val="22"/>
                          </w:rPr>
                          <w:t>156.835</w:t>
                        </w:r>
                      </w:p>
                    </w:tc>
                    <w:tc>
                      <w:tcPr>
                        <w:tcW w:w="704" w:type="dxa"/>
                      </w:tcPr>
                      <w:p>
                        <w:pPr>
                          <w:pStyle w:val="TableParagraph"/>
                          <w:spacing w:before="40"/>
                          <w:ind w:left="0" w:right="-6"/>
                          <w:jc w:val="right"/>
                          <w:rPr>
                            <w:sz w:val="22"/>
                          </w:rPr>
                        </w:pPr>
                        <w:r>
                          <w:rPr>
                            <w:sz w:val="22"/>
                          </w:rPr>
                          <w:t>36.720</w:t>
                        </w:r>
                      </w:p>
                    </w:tc>
                    <w:tc>
                      <w:tcPr>
                        <w:tcW w:w="1000" w:type="dxa"/>
                        <w:tcBorders>
                          <w:right w:val="single" w:sz="21" w:space="0" w:color="9F9F9F"/>
                        </w:tcBorders>
                      </w:tcPr>
                      <w:p>
                        <w:pPr>
                          <w:pStyle w:val="TableParagraph"/>
                          <w:spacing w:before="40"/>
                          <w:ind w:left="26"/>
                          <w:jc w:val="center"/>
                          <w:rPr>
                            <w:sz w:val="22"/>
                          </w:rPr>
                        </w:pPr>
                        <w:r>
                          <w:rPr>
                            <w:sz w:val="22"/>
                          </w:rPr>
                          <w:t>5.131.734</w:t>
                        </w:r>
                      </w:p>
                    </w:tc>
                  </w:tr>
                  <w:tr>
                    <w:trPr>
                      <w:trHeight w:val="316" w:hRule="exact"/>
                    </w:trPr>
                    <w:tc>
                      <w:tcPr>
                        <w:tcW w:w="1477" w:type="dxa"/>
                        <w:gridSpan w:val="3"/>
                        <w:tcBorders>
                          <w:left w:val="single" w:sz="21" w:space="0" w:color="EFEFEF"/>
                          <w:bottom w:val="single" w:sz="22" w:space="0" w:color="9F9F9F"/>
                        </w:tcBorders>
                      </w:tcPr>
                      <w:p>
                        <w:pPr>
                          <w:pStyle w:val="TableParagraph"/>
                          <w:spacing w:line="261" w:lineRule="exact" w:before="0"/>
                          <w:ind w:left="36" w:right="-24"/>
                          <w:rPr>
                            <w:sz w:val="22"/>
                          </w:rPr>
                        </w:pPr>
                        <w:r>
                          <w:rPr>
                            <w:sz w:val="22"/>
                          </w:rPr>
                          <w:t>Administrativo</w:t>
                        </w:r>
                      </w:p>
                    </w:tc>
                    <w:tc>
                      <w:tcPr>
                        <w:tcW w:w="224" w:type="dxa"/>
                        <w:tcBorders>
                          <w:bottom w:val="single" w:sz="22" w:space="0" w:color="9F9F9F"/>
                          <w:right w:val="single" w:sz="24" w:space="0" w:color="9F9F9F"/>
                        </w:tcBorders>
                      </w:tcPr>
                      <w:p>
                        <w:pPr>
                          <w:pStyle w:val="TableParagraph"/>
                          <w:spacing w:line="261" w:lineRule="exact" w:before="0"/>
                          <w:ind w:left="35"/>
                          <w:jc w:val="center"/>
                          <w:rPr>
                            <w:sz w:val="22"/>
                          </w:rPr>
                        </w:pPr>
                        <w:r>
                          <w:rPr>
                            <w:sz w:val="22"/>
                          </w:rPr>
                          <w:t>C</w:t>
                        </w:r>
                      </w:p>
                    </w:tc>
                    <w:tc>
                      <w:tcPr>
                        <w:tcW w:w="592" w:type="dxa"/>
                        <w:gridSpan w:val="2"/>
                        <w:tcBorders>
                          <w:left w:val="single" w:sz="24" w:space="0" w:color="9F9F9F"/>
                          <w:bottom w:val="single" w:sz="22" w:space="0" w:color="9F9F9F"/>
                          <w:right w:val="single" w:sz="24" w:space="0" w:color="9F9F9F"/>
                        </w:tcBorders>
                      </w:tcPr>
                      <w:p>
                        <w:pPr>
                          <w:pStyle w:val="TableParagraph"/>
                          <w:spacing w:line="261" w:lineRule="exact" w:before="0"/>
                          <w:ind w:right="-30"/>
                          <w:rPr>
                            <w:sz w:val="22"/>
                          </w:rPr>
                        </w:pPr>
                        <w:r>
                          <w:rPr>
                            <w:sz w:val="22"/>
                          </w:rPr>
                          <w:t>3.717</w:t>
                        </w:r>
                      </w:p>
                    </w:tc>
                    <w:tc>
                      <w:tcPr>
                        <w:tcW w:w="361" w:type="dxa"/>
                        <w:gridSpan w:val="2"/>
                        <w:tcBorders>
                          <w:top w:val="single" w:sz="5" w:space="0" w:color="9F9F9F"/>
                          <w:left w:val="single" w:sz="24" w:space="0" w:color="9F9F9F"/>
                          <w:bottom w:val="single" w:sz="22" w:space="0" w:color="9F9F9F"/>
                        </w:tcBorders>
                      </w:tcPr>
                      <w:p>
                        <w:pPr>
                          <w:pStyle w:val="TableParagraph"/>
                          <w:spacing w:before="14"/>
                          <w:rPr>
                            <w:sz w:val="22"/>
                          </w:rPr>
                        </w:pPr>
                        <w:r>
                          <w:rPr>
                            <w:sz w:val="22"/>
                          </w:rPr>
                          <w:t>14</w:t>
                        </w:r>
                      </w:p>
                    </w:tc>
                    <w:tc>
                      <w:tcPr>
                        <w:tcW w:w="772" w:type="dxa"/>
                        <w:gridSpan w:val="3"/>
                        <w:tcBorders>
                          <w:bottom w:val="single" w:sz="22" w:space="0" w:color="9F9F9F"/>
                        </w:tcBorders>
                      </w:tcPr>
                      <w:p>
                        <w:pPr>
                          <w:pStyle w:val="TableParagraph"/>
                          <w:spacing w:line="261" w:lineRule="exact" w:before="0"/>
                          <w:ind w:left="-6" w:right="-23"/>
                          <w:rPr>
                            <w:sz w:val="22"/>
                          </w:rPr>
                        </w:pPr>
                        <w:r>
                          <w:rPr>
                            <w:sz w:val="22"/>
                          </w:rPr>
                          <w:t>62.516</w:t>
                        </w:r>
                      </w:p>
                    </w:tc>
                    <w:tc>
                      <w:tcPr>
                        <w:tcW w:w="704" w:type="dxa"/>
                        <w:tcBorders>
                          <w:bottom w:val="single" w:sz="22" w:space="0" w:color="9F9F9F"/>
                        </w:tcBorders>
                      </w:tcPr>
                      <w:p>
                        <w:pPr>
                          <w:pStyle w:val="TableParagraph"/>
                          <w:spacing w:line="261" w:lineRule="exact" w:before="0"/>
                          <w:ind w:left="0" w:right="-6"/>
                          <w:jc w:val="right"/>
                          <w:rPr>
                            <w:sz w:val="22"/>
                          </w:rPr>
                        </w:pPr>
                        <w:r>
                          <w:rPr>
                            <w:sz w:val="22"/>
                          </w:rPr>
                          <w:t>20.840</w:t>
                        </w:r>
                      </w:p>
                    </w:tc>
                    <w:tc>
                      <w:tcPr>
                        <w:tcW w:w="1000" w:type="dxa"/>
                        <w:tcBorders>
                          <w:bottom w:val="single" w:sz="22" w:space="0" w:color="9F9F9F"/>
                          <w:right w:val="single" w:sz="21" w:space="0" w:color="9F9F9F"/>
                        </w:tcBorders>
                      </w:tcPr>
                      <w:p>
                        <w:pPr>
                          <w:pStyle w:val="TableParagraph"/>
                          <w:spacing w:line="261" w:lineRule="exact" w:before="0"/>
                          <w:ind w:left="26"/>
                          <w:jc w:val="center"/>
                          <w:rPr>
                            <w:sz w:val="22"/>
                          </w:rPr>
                        </w:pPr>
                        <w:r>
                          <w:rPr>
                            <w:sz w:val="22"/>
                          </w:rPr>
                          <w:t>2.962.622</w:t>
                        </w:r>
                      </w:p>
                    </w:tc>
                  </w:tr>
                  <w:tr>
                    <w:trPr>
                      <w:trHeight w:val="356" w:hRule="exact"/>
                    </w:trPr>
                    <w:tc>
                      <w:tcPr>
                        <w:tcW w:w="1477" w:type="dxa"/>
                        <w:gridSpan w:val="3"/>
                        <w:tcBorders>
                          <w:top w:val="single" w:sz="22" w:space="0" w:color="9F9F9F"/>
                          <w:left w:val="single" w:sz="21" w:space="0" w:color="EFEFEF"/>
                        </w:tcBorders>
                      </w:tcPr>
                      <w:p>
                        <w:pPr>
                          <w:pStyle w:val="TableParagraph"/>
                          <w:ind w:left="36" w:right="-24"/>
                          <w:rPr>
                            <w:sz w:val="22"/>
                          </w:rPr>
                        </w:pPr>
                        <w:r>
                          <w:rPr>
                            <w:sz w:val="22"/>
                          </w:rPr>
                          <w:t>Aux.Ad.Alcaldía</w:t>
                        </w:r>
                      </w:p>
                    </w:tc>
                    <w:tc>
                      <w:tcPr>
                        <w:tcW w:w="224" w:type="dxa"/>
                        <w:tcBorders>
                          <w:top w:val="single" w:sz="22" w:space="0" w:color="9F9F9F"/>
                          <w:right w:val="single" w:sz="24" w:space="0" w:color="9F9F9F"/>
                        </w:tcBorders>
                      </w:tcPr>
                      <w:p>
                        <w:pPr>
                          <w:pStyle w:val="TableParagraph"/>
                          <w:ind w:left="41" w:right="-12"/>
                          <w:jc w:val="center"/>
                          <w:rPr>
                            <w:sz w:val="22"/>
                          </w:rPr>
                        </w:pPr>
                        <w:r>
                          <w:rPr>
                            <w:sz w:val="22"/>
                          </w:rPr>
                          <w:t>D</w:t>
                        </w:r>
                      </w:p>
                    </w:tc>
                    <w:tc>
                      <w:tcPr>
                        <w:tcW w:w="592" w:type="dxa"/>
                        <w:gridSpan w:val="2"/>
                        <w:tcBorders>
                          <w:top w:val="single" w:sz="22" w:space="0" w:color="9F9F9F"/>
                          <w:left w:val="single" w:sz="24" w:space="0" w:color="9F9F9F"/>
                          <w:right w:val="single" w:sz="24" w:space="0" w:color="9F9F9F"/>
                        </w:tcBorders>
                      </w:tcPr>
                      <w:p>
                        <w:pPr>
                          <w:pStyle w:val="TableParagraph"/>
                          <w:ind w:right="-30"/>
                          <w:rPr>
                            <w:sz w:val="22"/>
                          </w:rPr>
                        </w:pPr>
                        <w:r>
                          <w:rPr>
                            <w:sz w:val="22"/>
                          </w:rPr>
                          <w:t>2.483</w:t>
                        </w:r>
                      </w:p>
                    </w:tc>
                    <w:tc>
                      <w:tcPr>
                        <w:tcW w:w="361" w:type="dxa"/>
                        <w:gridSpan w:val="2"/>
                        <w:tcBorders>
                          <w:top w:val="single" w:sz="22" w:space="0" w:color="9F9F9F"/>
                          <w:left w:val="single" w:sz="24" w:space="0" w:color="9F9F9F"/>
                          <w:bottom w:val="single" w:sz="5" w:space="0" w:color="EFEFEF"/>
                        </w:tcBorders>
                      </w:tcPr>
                      <w:p>
                        <w:pPr>
                          <w:pStyle w:val="TableParagraph"/>
                          <w:rPr>
                            <w:sz w:val="22"/>
                          </w:rPr>
                        </w:pPr>
                        <w:r>
                          <w:rPr>
                            <w:sz w:val="22"/>
                          </w:rPr>
                          <w:t>12</w:t>
                        </w:r>
                      </w:p>
                    </w:tc>
                    <w:tc>
                      <w:tcPr>
                        <w:tcW w:w="772" w:type="dxa"/>
                        <w:gridSpan w:val="3"/>
                        <w:tcBorders>
                          <w:top w:val="single" w:sz="22" w:space="0" w:color="9F9F9F"/>
                        </w:tcBorders>
                      </w:tcPr>
                      <w:p>
                        <w:pPr>
                          <w:pStyle w:val="TableParagraph"/>
                          <w:ind w:left="-6" w:right="-23"/>
                          <w:rPr>
                            <w:sz w:val="22"/>
                          </w:rPr>
                        </w:pPr>
                        <w:r>
                          <w:rPr>
                            <w:sz w:val="22"/>
                          </w:rPr>
                          <w:t>52.007</w:t>
                        </w:r>
                      </w:p>
                    </w:tc>
                    <w:tc>
                      <w:tcPr>
                        <w:tcW w:w="704" w:type="dxa"/>
                        <w:tcBorders>
                          <w:top w:val="single" w:sz="22" w:space="0" w:color="9F9F9F"/>
                        </w:tcBorders>
                      </w:tcPr>
                      <w:p>
                        <w:pPr>
                          <w:pStyle w:val="TableParagraph"/>
                          <w:ind w:left="0" w:right="-6"/>
                          <w:jc w:val="right"/>
                          <w:rPr>
                            <w:sz w:val="22"/>
                          </w:rPr>
                        </w:pPr>
                        <w:r>
                          <w:rPr>
                            <w:sz w:val="22"/>
                          </w:rPr>
                          <w:t>27.536</w:t>
                        </w:r>
                      </w:p>
                    </w:tc>
                    <w:tc>
                      <w:tcPr>
                        <w:tcW w:w="1000" w:type="dxa"/>
                        <w:tcBorders>
                          <w:top w:val="single" w:sz="22" w:space="0" w:color="9F9F9F"/>
                          <w:right w:val="single" w:sz="21" w:space="0" w:color="9F9F9F"/>
                        </w:tcBorders>
                      </w:tcPr>
                      <w:p>
                        <w:pPr>
                          <w:pStyle w:val="TableParagraph"/>
                          <w:ind w:left="26"/>
                          <w:jc w:val="center"/>
                          <w:rPr>
                            <w:sz w:val="22"/>
                          </w:rPr>
                        </w:pPr>
                        <w:r>
                          <w:rPr>
                            <w:sz w:val="22"/>
                          </w:rPr>
                          <w:t>2.577.784</w:t>
                        </w:r>
                      </w:p>
                    </w:tc>
                  </w:tr>
                  <w:tr>
                    <w:trPr>
                      <w:trHeight w:val="382" w:hRule="exact"/>
                    </w:trPr>
                    <w:tc>
                      <w:tcPr>
                        <w:tcW w:w="1477" w:type="dxa"/>
                        <w:gridSpan w:val="3"/>
                        <w:tcBorders>
                          <w:left w:val="single" w:sz="21" w:space="0" w:color="EFEFEF"/>
                        </w:tcBorders>
                      </w:tcPr>
                      <w:p>
                        <w:pPr>
                          <w:pStyle w:val="TableParagraph"/>
                          <w:spacing w:before="40"/>
                          <w:ind w:left="36" w:right="-24"/>
                          <w:rPr>
                            <w:sz w:val="22"/>
                          </w:rPr>
                        </w:pPr>
                        <w:r>
                          <w:rPr>
                            <w:sz w:val="22"/>
                          </w:rPr>
                          <w:t>Aux.Adm.</w:t>
                        </w:r>
                      </w:p>
                    </w:tc>
                    <w:tc>
                      <w:tcPr>
                        <w:tcW w:w="224" w:type="dxa"/>
                        <w:tcBorders>
                          <w:right w:val="single" w:sz="24" w:space="0" w:color="9F9F9F"/>
                        </w:tcBorders>
                      </w:tcPr>
                      <w:p>
                        <w:pPr>
                          <w:pStyle w:val="TableParagraph"/>
                          <w:spacing w:before="40"/>
                          <w:ind w:left="41" w:right="-12"/>
                          <w:jc w:val="center"/>
                          <w:rPr>
                            <w:sz w:val="22"/>
                          </w:rPr>
                        </w:pPr>
                        <w:r>
                          <w:rPr>
                            <w:sz w:val="22"/>
                          </w:rPr>
                          <w:t>D</w:t>
                        </w:r>
                      </w:p>
                    </w:tc>
                    <w:tc>
                      <w:tcPr>
                        <w:tcW w:w="592" w:type="dxa"/>
                        <w:gridSpan w:val="2"/>
                        <w:tcBorders>
                          <w:left w:val="single" w:sz="24" w:space="0" w:color="9F9F9F"/>
                          <w:right w:val="single" w:sz="5" w:space="0" w:color="EFEFEF"/>
                        </w:tcBorders>
                      </w:tcPr>
                      <w:p>
                        <w:pPr>
                          <w:pStyle w:val="TableParagraph"/>
                          <w:spacing w:before="40"/>
                          <w:ind w:right="-6"/>
                          <w:rPr>
                            <w:sz w:val="22"/>
                          </w:rPr>
                        </w:pPr>
                        <w:r>
                          <w:rPr>
                            <w:sz w:val="22"/>
                          </w:rPr>
                          <w:t>2.483</w:t>
                        </w:r>
                      </w:p>
                    </w:tc>
                    <w:tc>
                      <w:tcPr>
                        <w:tcW w:w="361" w:type="dxa"/>
                        <w:gridSpan w:val="2"/>
                        <w:tcBorders>
                          <w:top w:val="single" w:sz="5" w:space="0" w:color="EFEFEF"/>
                          <w:left w:val="single" w:sz="5" w:space="0" w:color="EFEFEF"/>
                          <w:bottom w:val="nil"/>
                          <w:right w:val="single" w:sz="5" w:space="0" w:color="9F9F9F"/>
                        </w:tcBorders>
                      </w:tcPr>
                      <w:p>
                        <w:pPr>
                          <w:pStyle w:val="TableParagraph"/>
                          <w:spacing w:before="62"/>
                          <w:ind w:left="64"/>
                          <w:rPr>
                            <w:sz w:val="22"/>
                          </w:rPr>
                        </w:pPr>
                        <w:r>
                          <w:rPr>
                            <w:sz w:val="22"/>
                          </w:rPr>
                          <w:t>12</w:t>
                        </w:r>
                      </w:p>
                    </w:tc>
                    <w:tc>
                      <w:tcPr>
                        <w:tcW w:w="772" w:type="dxa"/>
                        <w:gridSpan w:val="3"/>
                        <w:tcBorders>
                          <w:left w:val="single" w:sz="5" w:space="0" w:color="9F9F9F"/>
                        </w:tcBorders>
                      </w:tcPr>
                      <w:p>
                        <w:pPr>
                          <w:pStyle w:val="TableParagraph"/>
                          <w:spacing w:before="40"/>
                          <w:ind w:left="16" w:right="-23"/>
                          <w:rPr>
                            <w:sz w:val="22"/>
                          </w:rPr>
                        </w:pPr>
                        <w:r>
                          <w:rPr>
                            <w:sz w:val="22"/>
                          </w:rPr>
                          <w:t>52.007</w:t>
                        </w:r>
                      </w:p>
                    </w:tc>
                    <w:tc>
                      <w:tcPr>
                        <w:tcW w:w="704" w:type="dxa"/>
                      </w:tcPr>
                      <w:p>
                        <w:pPr>
                          <w:pStyle w:val="TableParagraph"/>
                          <w:spacing w:before="40"/>
                          <w:ind w:left="0" w:right="-6"/>
                          <w:jc w:val="right"/>
                          <w:rPr>
                            <w:sz w:val="22"/>
                          </w:rPr>
                        </w:pPr>
                        <w:r>
                          <w:rPr>
                            <w:sz w:val="22"/>
                          </w:rPr>
                          <w:t>17.336</w:t>
                        </w:r>
                      </w:p>
                    </w:tc>
                    <w:tc>
                      <w:tcPr>
                        <w:tcW w:w="1000" w:type="dxa"/>
                        <w:tcBorders>
                          <w:right w:val="single" w:sz="21" w:space="0" w:color="9F9F9F"/>
                        </w:tcBorders>
                      </w:tcPr>
                      <w:p>
                        <w:pPr>
                          <w:pStyle w:val="TableParagraph"/>
                          <w:spacing w:before="40"/>
                          <w:ind w:left="26"/>
                          <w:jc w:val="center"/>
                          <w:rPr>
                            <w:sz w:val="22"/>
                          </w:rPr>
                        </w:pPr>
                        <w:r>
                          <w:rPr>
                            <w:sz w:val="22"/>
                          </w:rPr>
                          <w:t>2.455.384</w:t>
                        </w:r>
                      </w:p>
                    </w:tc>
                  </w:tr>
                  <w:tr>
                    <w:trPr>
                      <w:trHeight w:val="382" w:hRule="exact"/>
                    </w:trPr>
                    <w:tc>
                      <w:tcPr>
                        <w:tcW w:w="1477" w:type="dxa"/>
                        <w:gridSpan w:val="3"/>
                        <w:tcBorders>
                          <w:left w:val="single" w:sz="21" w:space="0" w:color="EFEFEF"/>
                        </w:tcBorders>
                      </w:tcPr>
                      <w:p>
                        <w:pPr>
                          <w:pStyle w:val="TableParagraph"/>
                          <w:spacing w:before="14"/>
                          <w:ind w:left="36" w:right="-24"/>
                          <w:rPr>
                            <w:sz w:val="22"/>
                          </w:rPr>
                        </w:pPr>
                        <w:r>
                          <w:rPr>
                            <w:sz w:val="22"/>
                          </w:rPr>
                          <w:t>Sarxento</w:t>
                        </w:r>
                      </w:p>
                    </w:tc>
                    <w:tc>
                      <w:tcPr>
                        <w:tcW w:w="224" w:type="dxa"/>
                        <w:tcBorders>
                          <w:right w:val="single" w:sz="24" w:space="0" w:color="9F9F9F"/>
                        </w:tcBorders>
                      </w:tcPr>
                      <w:p>
                        <w:pPr>
                          <w:pStyle w:val="TableParagraph"/>
                          <w:spacing w:before="14"/>
                          <w:ind w:left="35"/>
                          <w:jc w:val="center"/>
                          <w:rPr>
                            <w:sz w:val="22"/>
                          </w:rPr>
                        </w:pPr>
                        <w:r>
                          <w:rPr>
                            <w:sz w:val="22"/>
                          </w:rPr>
                          <w:t>C</w:t>
                        </w:r>
                      </w:p>
                    </w:tc>
                    <w:tc>
                      <w:tcPr>
                        <w:tcW w:w="592" w:type="dxa"/>
                        <w:gridSpan w:val="2"/>
                        <w:tcBorders>
                          <w:left w:val="single" w:sz="24" w:space="0" w:color="9F9F9F"/>
                          <w:right w:val="single" w:sz="5" w:space="0" w:color="EFEFEF"/>
                        </w:tcBorders>
                      </w:tcPr>
                      <w:p>
                        <w:pPr>
                          <w:pStyle w:val="TableParagraph"/>
                          <w:spacing w:before="14"/>
                          <w:ind w:right="-6"/>
                          <w:rPr>
                            <w:sz w:val="22"/>
                          </w:rPr>
                        </w:pPr>
                        <w:r>
                          <w:rPr>
                            <w:sz w:val="22"/>
                          </w:rPr>
                          <w:t>3.717</w:t>
                        </w:r>
                      </w:p>
                    </w:tc>
                    <w:tc>
                      <w:tcPr>
                        <w:tcW w:w="361" w:type="dxa"/>
                        <w:gridSpan w:val="2"/>
                        <w:tcBorders>
                          <w:top w:val="nil"/>
                          <w:left w:val="single" w:sz="5" w:space="0" w:color="EFEFEF"/>
                          <w:bottom w:val="single" w:sz="5" w:space="0" w:color="9F9F9F"/>
                          <w:right w:val="single" w:sz="5" w:space="0" w:color="9F9F9F"/>
                        </w:tcBorders>
                      </w:tcPr>
                      <w:p>
                        <w:pPr>
                          <w:pStyle w:val="TableParagraph"/>
                          <w:spacing w:before="42"/>
                          <w:ind w:left="64"/>
                          <w:rPr>
                            <w:sz w:val="22"/>
                          </w:rPr>
                        </w:pPr>
                        <w:r>
                          <w:rPr>
                            <w:sz w:val="22"/>
                          </w:rPr>
                          <w:t>14</w:t>
                        </w:r>
                      </w:p>
                    </w:tc>
                    <w:tc>
                      <w:tcPr>
                        <w:tcW w:w="772" w:type="dxa"/>
                        <w:gridSpan w:val="3"/>
                        <w:tcBorders>
                          <w:left w:val="single" w:sz="5" w:space="0" w:color="9F9F9F"/>
                        </w:tcBorders>
                      </w:tcPr>
                      <w:p>
                        <w:pPr>
                          <w:pStyle w:val="TableParagraph"/>
                          <w:spacing w:before="14"/>
                          <w:ind w:left="16" w:right="-23"/>
                          <w:rPr>
                            <w:sz w:val="22"/>
                          </w:rPr>
                        </w:pPr>
                        <w:r>
                          <w:rPr>
                            <w:sz w:val="22"/>
                          </w:rPr>
                          <w:t>65.425</w:t>
                        </w:r>
                      </w:p>
                    </w:tc>
                    <w:tc>
                      <w:tcPr>
                        <w:tcW w:w="704" w:type="dxa"/>
                      </w:tcPr>
                      <w:p>
                        <w:pPr>
                          <w:pStyle w:val="TableParagraph"/>
                          <w:spacing w:before="14"/>
                          <w:ind w:left="0" w:right="-6"/>
                          <w:jc w:val="right"/>
                          <w:rPr>
                            <w:sz w:val="22"/>
                          </w:rPr>
                        </w:pPr>
                        <w:r>
                          <w:rPr>
                            <w:sz w:val="22"/>
                          </w:rPr>
                          <w:t>37.285</w:t>
                        </w:r>
                      </w:p>
                    </w:tc>
                    <w:tc>
                      <w:tcPr>
                        <w:tcW w:w="1000" w:type="dxa"/>
                        <w:tcBorders>
                          <w:right w:val="single" w:sz="21" w:space="0" w:color="9F9F9F"/>
                        </w:tcBorders>
                      </w:tcPr>
                      <w:p>
                        <w:pPr>
                          <w:pStyle w:val="TableParagraph"/>
                          <w:spacing w:before="14"/>
                          <w:ind w:left="26"/>
                          <w:jc w:val="center"/>
                          <w:rPr>
                            <w:sz w:val="22"/>
                          </w:rPr>
                        </w:pPr>
                        <w:r>
                          <w:rPr>
                            <w:sz w:val="22"/>
                          </w:rPr>
                          <w:t>3.194.870</w:t>
                        </w:r>
                      </w:p>
                    </w:tc>
                  </w:tr>
                  <w:tr>
                    <w:trPr>
                      <w:trHeight w:val="312" w:hRule="exact"/>
                    </w:trPr>
                    <w:tc>
                      <w:tcPr>
                        <w:tcW w:w="1477" w:type="dxa"/>
                        <w:gridSpan w:val="3"/>
                        <w:tcBorders>
                          <w:left w:val="single" w:sz="21" w:space="0" w:color="EFEFEF"/>
                          <w:bottom w:val="single" w:sz="22" w:space="0" w:color="9F9F9F"/>
                        </w:tcBorders>
                      </w:tcPr>
                      <w:p>
                        <w:pPr>
                          <w:pStyle w:val="TableParagraph"/>
                          <w:spacing w:line="261" w:lineRule="exact" w:before="0"/>
                          <w:ind w:left="36" w:right="-24"/>
                          <w:rPr>
                            <w:sz w:val="22"/>
                          </w:rPr>
                        </w:pPr>
                        <w:r>
                          <w:rPr>
                            <w:sz w:val="22"/>
                          </w:rPr>
                          <w:t>Garda</w:t>
                        </w:r>
                      </w:p>
                    </w:tc>
                    <w:tc>
                      <w:tcPr>
                        <w:tcW w:w="224" w:type="dxa"/>
                        <w:tcBorders>
                          <w:bottom w:val="single" w:sz="22" w:space="0" w:color="9F9F9F"/>
                          <w:right w:val="single" w:sz="24" w:space="0" w:color="9F9F9F"/>
                        </w:tcBorders>
                      </w:tcPr>
                      <w:p>
                        <w:pPr>
                          <w:pStyle w:val="TableParagraph"/>
                          <w:spacing w:line="261" w:lineRule="exact" w:before="0"/>
                          <w:ind w:left="41" w:right="-12"/>
                          <w:jc w:val="center"/>
                          <w:rPr>
                            <w:sz w:val="22"/>
                          </w:rPr>
                        </w:pPr>
                        <w:r>
                          <w:rPr>
                            <w:sz w:val="22"/>
                          </w:rPr>
                          <w:t>D</w:t>
                        </w:r>
                      </w:p>
                    </w:tc>
                    <w:tc>
                      <w:tcPr>
                        <w:tcW w:w="592" w:type="dxa"/>
                        <w:gridSpan w:val="2"/>
                        <w:tcBorders>
                          <w:left w:val="single" w:sz="24" w:space="0" w:color="9F9F9F"/>
                          <w:bottom w:val="single" w:sz="22" w:space="0" w:color="9F9F9F"/>
                          <w:right w:val="single" w:sz="24" w:space="0" w:color="9F9F9F"/>
                        </w:tcBorders>
                      </w:tcPr>
                      <w:p>
                        <w:pPr>
                          <w:pStyle w:val="TableParagraph"/>
                          <w:spacing w:line="261" w:lineRule="exact" w:before="0"/>
                          <w:ind w:right="-30"/>
                          <w:rPr>
                            <w:sz w:val="22"/>
                          </w:rPr>
                        </w:pPr>
                        <w:r>
                          <w:rPr>
                            <w:sz w:val="22"/>
                          </w:rPr>
                          <w:t>2.483</w:t>
                        </w:r>
                      </w:p>
                    </w:tc>
                    <w:tc>
                      <w:tcPr>
                        <w:tcW w:w="361" w:type="dxa"/>
                        <w:gridSpan w:val="2"/>
                        <w:tcBorders>
                          <w:top w:val="single" w:sz="5" w:space="0" w:color="9F9F9F"/>
                          <w:left w:val="single" w:sz="24" w:space="0" w:color="9F9F9F"/>
                          <w:bottom w:val="single" w:sz="22" w:space="0" w:color="9F9F9F"/>
                        </w:tcBorders>
                      </w:tcPr>
                      <w:p>
                        <w:pPr>
                          <w:pStyle w:val="TableParagraph"/>
                          <w:spacing w:before="14"/>
                          <w:rPr>
                            <w:sz w:val="22"/>
                          </w:rPr>
                        </w:pPr>
                        <w:r>
                          <w:rPr>
                            <w:sz w:val="22"/>
                          </w:rPr>
                          <w:t>12</w:t>
                        </w:r>
                      </w:p>
                    </w:tc>
                    <w:tc>
                      <w:tcPr>
                        <w:tcW w:w="772" w:type="dxa"/>
                        <w:gridSpan w:val="3"/>
                        <w:tcBorders>
                          <w:bottom w:val="single" w:sz="22" w:space="0" w:color="9F9F9F"/>
                        </w:tcBorders>
                      </w:tcPr>
                      <w:p>
                        <w:pPr>
                          <w:pStyle w:val="TableParagraph"/>
                          <w:spacing w:line="261" w:lineRule="exact" w:before="0"/>
                          <w:ind w:left="-6" w:right="-23"/>
                          <w:rPr>
                            <w:sz w:val="22"/>
                          </w:rPr>
                        </w:pPr>
                        <w:r>
                          <w:rPr>
                            <w:sz w:val="22"/>
                          </w:rPr>
                          <w:t>60.422</w:t>
                        </w:r>
                      </w:p>
                    </w:tc>
                    <w:tc>
                      <w:tcPr>
                        <w:tcW w:w="704" w:type="dxa"/>
                        <w:tcBorders>
                          <w:bottom w:val="single" w:sz="22" w:space="0" w:color="9F9F9F"/>
                        </w:tcBorders>
                      </w:tcPr>
                      <w:p>
                        <w:pPr>
                          <w:pStyle w:val="TableParagraph"/>
                          <w:spacing w:line="261" w:lineRule="exact" w:before="0"/>
                          <w:ind w:left="0" w:right="-6"/>
                          <w:jc w:val="right"/>
                          <w:rPr>
                            <w:sz w:val="22"/>
                          </w:rPr>
                        </w:pPr>
                        <w:r>
                          <w:rPr>
                            <w:sz w:val="22"/>
                          </w:rPr>
                          <w:t>20.141</w:t>
                        </w:r>
                      </w:p>
                    </w:tc>
                    <w:tc>
                      <w:tcPr>
                        <w:tcW w:w="1000" w:type="dxa"/>
                        <w:tcBorders>
                          <w:bottom w:val="single" w:sz="22" w:space="0" w:color="9F9F9F"/>
                          <w:right w:val="single" w:sz="21" w:space="0" w:color="9F9F9F"/>
                        </w:tcBorders>
                      </w:tcPr>
                      <w:p>
                        <w:pPr>
                          <w:pStyle w:val="TableParagraph"/>
                          <w:spacing w:line="261" w:lineRule="exact" w:before="0"/>
                          <w:ind w:left="26"/>
                          <w:jc w:val="center"/>
                          <w:rPr>
                            <w:sz w:val="22"/>
                          </w:rPr>
                        </w:pPr>
                        <w:r>
                          <w:rPr>
                            <w:sz w:val="22"/>
                          </w:rPr>
                          <w:t>2.590.024</w:t>
                        </w:r>
                      </w:p>
                    </w:tc>
                  </w:tr>
                  <w:tr>
                    <w:trPr>
                      <w:trHeight w:val="360" w:hRule="exact"/>
                    </w:trPr>
                    <w:tc>
                      <w:tcPr>
                        <w:tcW w:w="1477" w:type="dxa"/>
                        <w:gridSpan w:val="3"/>
                        <w:tcBorders>
                          <w:top w:val="single" w:sz="22" w:space="0" w:color="9F9F9F"/>
                          <w:left w:val="single" w:sz="21" w:space="0" w:color="EFEFEF"/>
                          <w:bottom w:val="single" w:sz="22" w:space="0" w:color="9F9F9F"/>
                        </w:tcBorders>
                      </w:tcPr>
                      <w:p>
                        <w:pPr>
                          <w:pStyle w:val="TableParagraph"/>
                          <w:ind w:left="36" w:right="-24"/>
                          <w:rPr>
                            <w:sz w:val="22"/>
                          </w:rPr>
                        </w:pPr>
                        <w:r>
                          <w:rPr>
                            <w:sz w:val="22"/>
                          </w:rPr>
                          <w:t>Conserxe</w:t>
                        </w:r>
                      </w:p>
                    </w:tc>
                    <w:tc>
                      <w:tcPr>
                        <w:tcW w:w="224" w:type="dxa"/>
                        <w:tcBorders>
                          <w:top w:val="single" w:sz="22" w:space="0" w:color="9F9F9F"/>
                          <w:bottom w:val="single" w:sz="22" w:space="0" w:color="9F9F9F"/>
                          <w:right w:val="single" w:sz="24" w:space="0" w:color="9F9F9F"/>
                        </w:tcBorders>
                      </w:tcPr>
                      <w:p>
                        <w:pPr>
                          <w:pStyle w:val="TableParagraph"/>
                          <w:ind w:left="25"/>
                          <w:jc w:val="center"/>
                          <w:rPr>
                            <w:sz w:val="22"/>
                          </w:rPr>
                        </w:pPr>
                        <w:r>
                          <w:rPr>
                            <w:sz w:val="22"/>
                          </w:rPr>
                          <w:t>E</w:t>
                        </w:r>
                      </w:p>
                    </w:tc>
                    <w:tc>
                      <w:tcPr>
                        <w:tcW w:w="592" w:type="dxa"/>
                        <w:gridSpan w:val="2"/>
                        <w:tcBorders>
                          <w:top w:val="single" w:sz="22" w:space="0" w:color="9F9F9F"/>
                          <w:left w:val="single" w:sz="24" w:space="0" w:color="9F9F9F"/>
                          <w:bottom w:val="single" w:sz="22" w:space="0" w:color="9F9F9F"/>
                          <w:right w:val="single" w:sz="24" w:space="0" w:color="9F9F9F"/>
                        </w:tcBorders>
                      </w:tcPr>
                      <w:p>
                        <w:pPr>
                          <w:pStyle w:val="TableParagraph"/>
                          <w:ind w:right="-30"/>
                          <w:rPr>
                            <w:sz w:val="22"/>
                          </w:rPr>
                        </w:pPr>
                        <w:r>
                          <w:rPr>
                            <w:sz w:val="22"/>
                          </w:rPr>
                          <w:t>1.862</w:t>
                        </w:r>
                      </w:p>
                    </w:tc>
                    <w:tc>
                      <w:tcPr>
                        <w:tcW w:w="361" w:type="dxa"/>
                        <w:gridSpan w:val="2"/>
                        <w:tcBorders>
                          <w:top w:val="single" w:sz="22" w:space="0" w:color="9F9F9F"/>
                          <w:left w:val="single" w:sz="24" w:space="0" w:color="9F9F9F"/>
                          <w:bottom w:val="single" w:sz="22" w:space="0" w:color="9F9F9F"/>
                        </w:tcBorders>
                      </w:tcPr>
                      <w:p>
                        <w:pPr>
                          <w:pStyle w:val="TableParagraph"/>
                          <w:rPr>
                            <w:sz w:val="22"/>
                          </w:rPr>
                        </w:pPr>
                        <w:r>
                          <w:rPr>
                            <w:sz w:val="22"/>
                          </w:rPr>
                          <w:t>8</w:t>
                        </w:r>
                      </w:p>
                    </w:tc>
                    <w:tc>
                      <w:tcPr>
                        <w:tcW w:w="772" w:type="dxa"/>
                        <w:gridSpan w:val="3"/>
                        <w:tcBorders>
                          <w:top w:val="single" w:sz="22" w:space="0" w:color="9F9F9F"/>
                          <w:bottom w:val="single" w:sz="22" w:space="0" w:color="9F9F9F"/>
                        </w:tcBorders>
                      </w:tcPr>
                      <w:p>
                        <w:pPr>
                          <w:pStyle w:val="TableParagraph"/>
                          <w:ind w:left="-6" w:right="-23"/>
                          <w:rPr>
                            <w:sz w:val="22"/>
                          </w:rPr>
                        </w:pPr>
                        <w:r>
                          <w:rPr>
                            <w:sz w:val="22"/>
                          </w:rPr>
                          <w:t>41.694</w:t>
                        </w:r>
                      </w:p>
                    </w:tc>
                    <w:tc>
                      <w:tcPr>
                        <w:tcW w:w="704" w:type="dxa"/>
                        <w:tcBorders>
                          <w:top w:val="single" w:sz="22" w:space="0" w:color="9F9F9F"/>
                          <w:bottom w:val="single" w:sz="22" w:space="0" w:color="9F9F9F"/>
                        </w:tcBorders>
                      </w:tcPr>
                      <w:p>
                        <w:pPr>
                          <w:pStyle w:val="TableParagraph"/>
                          <w:ind w:left="0" w:right="-6"/>
                          <w:jc w:val="right"/>
                          <w:rPr>
                            <w:sz w:val="22"/>
                          </w:rPr>
                        </w:pPr>
                        <w:r>
                          <w:rPr>
                            <w:sz w:val="22"/>
                          </w:rPr>
                          <w:t>13.899</w:t>
                        </w:r>
                      </w:p>
                    </w:tc>
                    <w:tc>
                      <w:tcPr>
                        <w:tcW w:w="1000" w:type="dxa"/>
                        <w:tcBorders>
                          <w:top w:val="single" w:sz="22" w:space="0" w:color="9F9F9F"/>
                          <w:bottom w:val="single" w:sz="22" w:space="0" w:color="9F9F9F"/>
                          <w:right w:val="single" w:sz="21" w:space="0" w:color="9F9F9F"/>
                        </w:tcBorders>
                      </w:tcPr>
                      <w:p>
                        <w:pPr>
                          <w:pStyle w:val="TableParagraph"/>
                          <w:ind w:left="26"/>
                          <w:jc w:val="center"/>
                          <w:rPr>
                            <w:sz w:val="22"/>
                          </w:rPr>
                        </w:pPr>
                        <w:r>
                          <w:rPr>
                            <w:sz w:val="22"/>
                          </w:rPr>
                          <w:t>2.070.626</w:t>
                        </w:r>
                      </w:p>
                    </w:tc>
                  </w:tr>
                  <w:tr>
                    <w:trPr>
                      <w:trHeight w:val="360" w:hRule="exact"/>
                    </w:trPr>
                    <w:tc>
                      <w:tcPr>
                        <w:tcW w:w="1477" w:type="dxa"/>
                        <w:gridSpan w:val="3"/>
                        <w:tcBorders>
                          <w:top w:val="single" w:sz="22" w:space="0" w:color="9F9F9F"/>
                          <w:left w:val="single" w:sz="21" w:space="0" w:color="EFEFEF"/>
                        </w:tcBorders>
                      </w:tcPr>
                      <w:p>
                        <w:pPr>
                          <w:pStyle w:val="TableParagraph"/>
                          <w:spacing w:before="37"/>
                          <w:ind w:left="36" w:right="-24"/>
                          <w:rPr>
                            <w:sz w:val="22"/>
                          </w:rPr>
                        </w:pPr>
                        <w:r>
                          <w:rPr>
                            <w:sz w:val="22"/>
                          </w:rPr>
                          <w:t>Operario</w:t>
                        </w:r>
                      </w:p>
                    </w:tc>
                    <w:tc>
                      <w:tcPr>
                        <w:tcW w:w="224" w:type="dxa"/>
                        <w:tcBorders>
                          <w:top w:val="single" w:sz="22" w:space="0" w:color="9F9F9F"/>
                          <w:right w:val="single" w:sz="24" w:space="0" w:color="9F9F9F"/>
                        </w:tcBorders>
                      </w:tcPr>
                      <w:p>
                        <w:pPr>
                          <w:pStyle w:val="TableParagraph"/>
                          <w:spacing w:before="37"/>
                          <w:ind w:left="25"/>
                          <w:jc w:val="center"/>
                          <w:rPr>
                            <w:sz w:val="22"/>
                          </w:rPr>
                        </w:pPr>
                        <w:r>
                          <w:rPr>
                            <w:sz w:val="22"/>
                          </w:rPr>
                          <w:t>E</w:t>
                        </w:r>
                      </w:p>
                    </w:tc>
                    <w:tc>
                      <w:tcPr>
                        <w:tcW w:w="592" w:type="dxa"/>
                        <w:gridSpan w:val="2"/>
                        <w:tcBorders>
                          <w:top w:val="single" w:sz="22" w:space="0" w:color="9F9F9F"/>
                          <w:left w:val="single" w:sz="24" w:space="0" w:color="9F9F9F"/>
                          <w:right w:val="single" w:sz="24" w:space="0" w:color="9F9F9F"/>
                        </w:tcBorders>
                      </w:tcPr>
                      <w:p>
                        <w:pPr>
                          <w:pStyle w:val="TableParagraph"/>
                          <w:spacing w:before="37"/>
                          <w:ind w:right="-30"/>
                          <w:rPr>
                            <w:sz w:val="22"/>
                          </w:rPr>
                        </w:pPr>
                        <w:r>
                          <w:rPr>
                            <w:sz w:val="22"/>
                          </w:rPr>
                          <w:t>1.862</w:t>
                        </w:r>
                      </w:p>
                    </w:tc>
                    <w:tc>
                      <w:tcPr>
                        <w:tcW w:w="361" w:type="dxa"/>
                        <w:gridSpan w:val="2"/>
                        <w:tcBorders>
                          <w:top w:val="single" w:sz="22" w:space="0" w:color="9F9F9F"/>
                          <w:left w:val="single" w:sz="24" w:space="0" w:color="9F9F9F"/>
                        </w:tcBorders>
                      </w:tcPr>
                      <w:p>
                        <w:pPr>
                          <w:pStyle w:val="TableParagraph"/>
                          <w:spacing w:before="37"/>
                          <w:rPr>
                            <w:sz w:val="22"/>
                          </w:rPr>
                        </w:pPr>
                        <w:r>
                          <w:rPr>
                            <w:sz w:val="22"/>
                          </w:rPr>
                          <w:t>8</w:t>
                        </w:r>
                      </w:p>
                    </w:tc>
                    <w:tc>
                      <w:tcPr>
                        <w:tcW w:w="772" w:type="dxa"/>
                        <w:gridSpan w:val="3"/>
                        <w:tcBorders>
                          <w:top w:val="single" w:sz="22" w:space="0" w:color="9F9F9F"/>
                        </w:tcBorders>
                      </w:tcPr>
                      <w:p>
                        <w:pPr>
                          <w:pStyle w:val="TableParagraph"/>
                          <w:spacing w:before="37"/>
                          <w:ind w:left="-6" w:right="-23"/>
                          <w:rPr>
                            <w:sz w:val="22"/>
                          </w:rPr>
                        </w:pPr>
                        <w:r>
                          <w:rPr>
                            <w:sz w:val="22"/>
                          </w:rPr>
                          <w:t>41.694</w:t>
                        </w:r>
                      </w:p>
                    </w:tc>
                    <w:tc>
                      <w:tcPr>
                        <w:tcW w:w="704" w:type="dxa"/>
                        <w:tcBorders>
                          <w:top w:val="single" w:sz="22" w:space="0" w:color="9F9F9F"/>
                        </w:tcBorders>
                      </w:tcPr>
                      <w:p>
                        <w:pPr>
                          <w:pStyle w:val="TableParagraph"/>
                          <w:spacing w:before="37"/>
                          <w:ind w:left="0" w:right="-6"/>
                          <w:jc w:val="right"/>
                          <w:rPr>
                            <w:sz w:val="22"/>
                          </w:rPr>
                        </w:pPr>
                        <w:r>
                          <w:rPr>
                            <w:sz w:val="22"/>
                          </w:rPr>
                          <w:t>45.963</w:t>
                        </w:r>
                      </w:p>
                    </w:tc>
                    <w:tc>
                      <w:tcPr>
                        <w:tcW w:w="1000" w:type="dxa"/>
                        <w:tcBorders>
                          <w:top w:val="single" w:sz="22" w:space="0" w:color="9F9F9F"/>
                          <w:right w:val="single" w:sz="21" w:space="0" w:color="9F9F9F"/>
                        </w:tcBorders>
                      </w:tcPr>
                      <w:p>
                        <w:pPr>
                          <w:pStyle w:val="TableParagraph"/>
                          <w:spacing w:before="37"/>
                          <w:ind w:left="26"/>
                          <w:jc w:val="center"/>
                          <w:rPr>
                            <w:sz w:val="22"/>
                          </w:rPr>
                        </w:pPr>
                        <w:r>
                          <w:rPr>
                            <w:sz w:val="22"/>
                          </w:rPr>
                          <w:t>2.455.394</w:t>
                        </w:r>
                      </w:p>
                    </w:tc>
                  </w:tr>
                  <w:tr>
                    <w:trPr>
                      <w:trHeight w:val="380" w:hRule="exact"/>
                    </w:trPr>
                    <w:tc>
                      <w:tcPr>
                        <w:tcW w:w="1477" w:type="dxa"/>
                        <w:gridSpan w:val="3"/>
                        <w:tcBorders>
                          <w:left w:val="single" w:sz="21" w:space="0" w:color="EFEFEF"/>
                          <w:bottom w:val="single" w:sz="24" w:space="0" w:color="9F9F9F"/>
                        </w:tcBorders>
                      </w:tcPr>
                      <w:p>
                        <w:pPr>
                          <w:pStyle w:val="TableParagraph"/>
                          <w:ind w:left="36" w:right="-24"/>
                          <w:rPr>
                            <w:sz w:val="22"/>
                          </w:rPr>
                        </w:pPr>
                        <w:r>
                          <w:rPr>
                            <w:sz w:val="22"/>
                          </w:rPr>
                          <w:t>Limpadora</w:t>
                        </w:r>
                      </w:p>
                    </w:tc>
                    <w:tc>
                      <w:tcPr>
                        <w:tcW w:w="224" w:type="dxa"/>
                        <w:tcBorders>
                          <w:bottom w:val="single" w:sz="24" w:space="0" w:color="9F9F9F"/>
                          <w:right w:val="single" w:sz="24" w:space="0" w:color="9F9F9F"/>
                        </w:tcBorders>
                      </w:tcPr>
                      <w:p>
                        <w:pPr>
                          <w:pStyle w:val="TableParagraph"/>
                          <w:ind w:left="25"/>
                          <w:jc w:val="center"/>
                          <w:rPr>
                            <w:sz w:val="22"/>
                          </w:rPr>
                        </w:pPr>
                        <w:r>
                          <w:rPr>
                            <w:sz w:val="22"/>
                          </w:rPr>
                          <w:t>E</w:t>
                        </w:r>
                      </w:p>
                    </w:tc>
                    <w:tc>
                      <w:tcPr>
                        <w:tcW w:w="592" w:type="dxa"/>
                        <w:gridSpan w:val="2"/>
                        <w:tcBorders>
                          <w:left w:val="single" w:sz="24" w:space="0" w:color="9F9F9F"/>
                          <w:bottom w:val="single" w:sz="24" w:space="0" w:color="9F9F9F"/>
                          <w:right w:val="single" w:sz="24" w:space="0" w:color="9F9F9F"/>
                        </w:tcBorders>
                      </w:tcPr>
                      <w:p>
                        <w:pPr>
                          <w:pStyle w:val="TableParagraph"/>
                          <w:ind w:right="-30"/>
                          <w:rPr>
                            <w:sz w:val="22"/>
                          </w:rPr>
                        </w:pPr>
                        <w:r>
                          <w:rPr>
                            <w:sz w:val="22"/>
                          </w:rPr>
                          <w:t>1.862</w:t>
                        </w:r>
                      </w:p>
                    </w:tc>
                    <w:tc>
                      <w:tcPr>
                        <w:tcW w:w="361" w:type="dxa"/>
                        <w:gridSpan w:val="2"/>
                        <w:tcBorders>
                          <w:left w:val="single" w:sz="24" w:space="0" w:color="9F9F9F"/>
                          <w:bottom w:val="single" w:sz="24" w:space="0" w:color="9F9F9F"/>
                        </w:tcBorders>
                      </w:tcPr>
                      <w:p>
                        <w:pPr>
                          <w:pStyle w:val="TableParagraph"/>
                          <w:rPr>
                            <w:sz w:val="22"/>
                          </w:rPr>
                        </w:pPr>
                        <w:r>
                          <w:rPr>
                            <w:sz w:val="22"/>
                          </w:rPr>
                          <w:t>8</w:t>
                        </w:r>
                      </w:p>
                    </w:tc>
                    <w:tc>
                      <w:tcPr>
                        <w:tcW w:w="772" w:type="dxa"/>
                        <w:gridSpan w:val="3"/>
                        <w:tcBorders>
                          <w:bottom w:val="single" w:sz="24" w:space="0" w:color="9F9F9F"/>
                        </w:tcBorders>
                      </w:tcPr>
                      <w:p>
                        <w:pPr>
                          <w:pStyle w:val="TableParagraph"/>
                          <w:ind w:left="-6" w:right="-23"/>
                          <w:rPr>
                            <w:sz w:val="22"/>
                          </w:rPr>
                        </w:pPr>
                        <w:r>
                          <w:rPr>
                            <w:sz w:val="22"/>
                          </w:rPr>
                          <w:t>41.694</w:t>
                        </w:r>
                      </w:p>
                    </w:tc>
                    <w:tc>
                      <w:tcPr>
                        <w:tcW w:w="704" w:type="dxa"/>
                        <w:tcBorders>
                          <w:bottom w:val="single" w:sz="24" w:space="0" w:color="9F9F9F"/>
                        </w:tcBorders>
                      </w:tcPr>
                      <w:p>
                        <w:pPr>
                          <w:pStyle w:val="TableParagraph"/>
                          <w:ind w:left="0" w:right="-6"/>
                          <w:jc w:val="right"/>
                          <w:rPr>
                            <w:sz w:val="22"/>
                          </w:rPr>
                        </w:pPr>
                        <w:r>
                          <w:rPr>
                            <w:sz w:val="22"/>
                          </w:rPr>
                          <w:t>13.899</w:t>
                        </w:r>
                      </w:p>
                    </w:tc>
                    <w:tc>
                      <w:tcPr>
                        <w:tcW w:w="1000" w:type="dxa"/>
                        <w:tcBorders>
                          <w:bottom w:val="single" w:sz="24" w:space="0" w:color="9F9F9F"/>
                          <w:right w:val="single" w:sz="21" w:space="0" w:color="9F9F9F"/>
                        </w:tcBorders>
                      </w:tcPr>
                      <w:p>
                        <w:pPr>
                          <w:pStyle w:val="TableParagraph"/>
                          <w:ind w:left="26"/>
                          <w:jc w:val="center"/>
                          <w:rPr>
                            <w:sz w:val="22"/>
                          </w:rPr>
                        </w:pPr>
                        <w:r>
                          <w:rPr>
                            <w:sz w:val="22"/>
                          </w:rPr>
                          <w:t>2.070.626</w:t>
                        </w:r>
                      </w:p>
                    </w:tc>
                  </w:tr>
                </w:tbl>
                <w:p>
                  <w:pPr>
                    <w:pStyle w:val="BodyText"/>
                    <w:ind w:left="0"/>
                    <w:jc w:val="left"/>
                  </w:pPr>
                </w:p>
              </w:txbxContent>
            </v:textbox>
            <w10:wrap type="none"/>
          </v:shape>
        </w:pict>
      </w:r>
      <w:r>
        <w:rPr/>
        <w:t>Táboas salariais</w:t>
      </w: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13"/>
        </w:rPr>
      </w:pPr>
      <w:r>
        <w:rPr/>
        <w:pict>
          <v:group style="position:absolute;margin-left:198.350006pt;margin-top:9.917751pt;width:14.65pt;height:17.1pt;mso-position-horizontal-relative:page;mso-position-vertical-relative:paragraph;z-index:0;mso-wrap-distance-left:0;mso-wrap-distance-right:0" coordorigin="3967,198" coordsize="293,342">
            <v:line style="position:absolute" from="3973,210" to="3986,210" stroked="true" strokeweight=".600010pt" strokecolor="#9f9f9f"/>
            <v:line style="position:absolute" from="3986,210" to="4242,210" stroked="true" strokeweight=".600010pt" strokecolor="#9f9f9f"/>
            <v:line style="position:absolute" from="4242,210" to="4254,210" stroked="true" strokeweight=".600010pt" strokecolor="#9f9f9f"/>
            <v:line style="position:absolute" from="3973,527" to="3986,527" stroked="true" strokeweight=".600010pt" strokecolor="#efefef"/>
            <v:line style="position:absolute" from="3986,527" to="4242,527" stroked="true" strokeweight=".600010pt" strokecolor="#efefef"/>
            <v:line style="position:absolute" from="3979,216" to="3979,533" stroked="true" strokeweight=".625pt" strokecolor="#9f9f9f"/>
            <v:line style="position:absolute" from="4248,204" to="4248,533" stroked="true" strokeweight=".600010pt" strokecolor="#efefef"/>
            <w10:wrap type="topAndBottom"/>
          </v:group>
        </w:pict>
      </w:r>
    </w:p>
    <w:p>
      <w:pPr>
        <w:pStyle w:val="BodyText"/>
        <w:ind w:left="0"/>
        <w:jc w:val="left"/>
        <w:rPr>
          <w:sz w:val="20"/>
        </w:rPr>
      </w:pPr>
    </w:p>
    <w:p>
      <w:pPr>
        <w:pStyle w:val="BodyText"/>
        <w:ind w:left="0"/>
        <w:jc w:val="left"/>
        <w:rPr>
          <w:sz w:val="20"/>
        </w:rPr>
      </w:pPr>
    </w:p>
    <w:p>
      <w:pPr>
        <w:pStyle w:val="BodyText"/>
        <w:spacing w:before="8"/>
        <w:ind w:left="0"/>
        <w:jc w:val="left"/>
        <w:rPr>
          <w:sz w:val="14"/>
        </w:rPr>
      </w:pPr>
      <w:r>
        <w:rPr/>
        <w:pict>
          <v:group style="position:absolute;margin-left:198.350006pt;margin-top:10.900957pt;width:14.65pt;height:35.050pt;mso-position-horizontal-relative:page;mso-position-vertical-relative:paragraph;z-index:1048;mso-wrap-distance-left:0;mso-wrap-distance-right:0" coordorigin="3967,218" coordsize="293,701">
            <v:line style="position:absolute" from="3973,230" to="3986,230" stroked="true" strokeweight=".599980pt" strokecolor="#9f9f9f"/>
            <v:line style="position:absolute" from="3986,230" to="4242,230" stroked="true" strokeweight=".599980pt" strokecolor="#9f9f9f"/>
            <v:line style="position:absolute" from="4242,230" to="4254,230" stroked="true" strokeweight=".599980pt" strokecolor="#9f9f9f"/>
            <v:line style="position:absolute" from="3973,546" to="3986,546" stroked="true" strokeweight=".60004pt" strokecolor="#efefef"/>
            <v:line style="position:absolute" from="3986,546" to="4242,546" stroked="true" strokeweight=".60004pt" strokecolor="#efefef"/>
            <v:line style="position:absolute" from="3979,236" to="3979,552" stroked="true" strokeweight=".625pt" strokecolor="#9f9f9f"/>
            <v:line style="position:absolute" from="4248,224" to="4248,552" stroked="true" strokeweight=".600010pt" strokecolor="#efefef"/>
            <v:line style="position:absolute" from="3973,590" to="3986,590" stroked="true" strokeweight=".599980pt" strokecolor="#9f9f9f"/>
            <v:line style="position:absolute" from="3986,590" to="4242,590" stroked="true" strokeweight=".599980pt" strokecolor="#9f9f9f"/>
            <v:line style="position:absolute" from="4242,590" to="4254,590" stroked="true" strokeweight=".599980pt" strokecolor="#9f9f9f"/>
            <v:line style="position:absolute" from="3973,906" to="3986,906" stroked="true" strokeweight=".60004pt" strokecolor="#efefef"/>
            <v:line style="position:absolute" from="3986,906" to="4242,906" stroked="true" strokeweight=".60004pt" strokecolor="#efefef"/>
            <v:line style="position:absolute" from="3979,596" to="3979,912" stroked="true" strokeweight=".625pt" strokecolor="#9f9f9f"/>
            <v:line style="position:absolute" from="4248,584" to="4248,912" stroked="true" strokeweight=".600010pt" strokecolor="#efefef"/>
            <w10:wrap type="topAndBottom"/>
          </v:group>
        </w:pict>
      </w:r>
    </w:p>
    <w:sectPr>
      <w:pgSz w:w="11910" w:h="16840"/>
      <w:pgMar w:top="1360" w:bottom="280" w:left="150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0">
    <w:multiLevelType w:val="hybridMultilevel"/>
    <w:lvl w:ilvl="0">
      <w:start w:val="1"/>
      <w:numFmt w:val="decimal"/>
      <w:lvlText w:val="%1."/>
      <w:lvlJc w:val="left"/>
      <w:pPr>
        <w:ind w:left="100" w:hanging="236"/>
        <w:jc w:val="left"/>
      </w:pPr>
      <w:rPr>
        <w:rFonts w:hint="default" w:ascii="Calibri" w:hAnsi="Calibri" w:eastAsia="Calibri" w:cs="Calibri"/>
        <w:w w:val="100"/>
        <w:sz w:val="22"/>
        <w:szCs w:val="22"/>
      </w:rPr>
    </w:lvl>
    <w:lvl w:ilvl="1">
      <w:start w:val="1"/>
      <w:numFmt w:val="bullet"/>
      <w:lvlText w:val="•"/>
      <w:lvlJc w:val="left"/>
      <w:pPr>
        <w:ind w:left="962" w:hanging="236"/>
      </w:pPr>
      <w:rPr>
        <w:rFonts w:hint="default"/>
      </w:rPr>
    </w:lvl>
    <w:lvl w:ilvl="2">
      <w:start w:val="1"/>
      <w:numFmt w:val="bullet"/>
      <w:lvlText w:val="•"/>
      <w:lvlJc w:val="left"/>
      <w:pPr>
        <w:ind w:left="1825" w:hanging="236"/>
      </w:pPr>
      <w:rPr>
        <w:rFonts w:hint="default"/>
      </w:rPr>
    </w:lvl>
    <w:lvl w:ilvl="3">
      <w:start w:val="1"/>
      <w:numFmt w:val="bullet"/>
      <w:lvlText w:val="•"/>
      <w:lvlJc w:val="left"/>
      <w:pPr>
        <w:ind w:left="2688" w:hanging="236"/>
      </w:pPr>
      <w:rPr>
        <w:rFonts w:hint="default"/>
      </w:rPr>
    </w:lvl>
    <w:lvl w:ilvl="4">
      <w:start w:val="1"/>
      <w:numFmt w:val="bullet"/>
      <w:lvlText w:val="•"/>
      <w:lvlJc w:val="left"/>
      <w:pPr>
        <w:ind w:left="3551" w:hanging="236"/>
      </w:pPr>
      <w:rPr>
        <w:rFonts w:hint="default"/>
      </w:rPr>
    </w:lvl>
    <w:lvl w:ilvl="5">
      <w:start w:val="1"/>
      <w:numFmt w:val="bullet"/>
      <w:lvlText w:val="•"/>
      <w:lvlJc w:val="left"/>
      <w:pPr>
        <w:ind w:left="4414" w:hanging="236"/>
      </w:pPr>
      <w:rPr>
        <w:rFonts w:hint="default"/>
      </w:rPr>
    </w:lvl>
    <w:lvl w:ilvl="6">
      <w:start w:val="1"/>
      <w:numFmt w:val="bullet"/>
      <w:lvlText w:val="•"/>
      <w:lvlJc w:val="left"/>
      <w:pPr>
        <w:ind w:left="5276" w:hanging="236"/>
      </w:pPr>
      <w:rPr>
        <w:rFonts w:hint="default"/>
      </w:rPr>
    </w:lvl>
    <w:lvl w:ilvl="7">
      <w:start w:val="1"/>
      <w:numFmt w:val="bullet"/>
      <w:lvlText w:val="•"/>
      <w:lvlJc w:val="left"/>
      <w:pPr>
        <w:ind w:left="6139" w:hanging="236"/>
      </w:pPr>
      <w:rPr>
        <w:rFonts w:hint="default"/>
      </w:rPr>
    </w:lvl>
    <w:lvl w:ilvl="8">
      <w:start w:val="1"/>
      <w:numFmt w:val="bullet"/>
      <w:lvlText w:val="•"/>
      <w:lvlJc w:val="left"/>
      <w:pPr>
        <w:ind w:left="7002" w:hanging="236"/>
      </w:pPr>
      <w:rPr>
        <w:rFonts w:hint="default"/>
      </w:rPr>
    </w:lvl>
  </w:abstractNum>
  <w:abstractNum w:abstractNumId="9">
    <w:multiLevelType w:val="hybridMultilevel"/>
    <w:lvl w:ilvl="0">
      <w:start w:val="1"/>
      <w:numFmt w:val="decimal"/>
      <w:lvlText w:val="%1."/>
      <w:lvlJc w:val="left"/>
      <w:pPr>
        <w:ind w:left="100" w:hanging="240"/>
        <w:jc w:val="left"/>
      </w:pPr>
      <w:rPr>
        <w:rFonts w:hint="default" w:ascii="Calibri" w:hAnsi="Calibri" w:eastAsia="Calibri" w:cs="Calibri"/>
        <w:w w:val="100"/>
        <w:sz w:val="22"/>
        <w:szCs w:val="22"/>
      </w:rPr>
    </w:lvl>
    <w:lvl w:ilvl="1">
      <w:start w:val="1"/>
      <w:numFmt w:val="bullet"/>
      <w:lvlText w:val="•"/>
      <w:lvlJc w:val="left"/>
      <w:pPr>
        <w:ind w:left="962" w:hanging="240"/>
      </w:pPr>
      <w:rPr>
        <w:rFonts w:hint="default"/>
      </w:rPr>
    </w:lvl>
    <w:lvl w:ilvl="2">
      <w:start w:val="1"/>
      <w:numFmt w:val="bullet"/>
      <w:lvlText w:val="•"/>
      <w:lvlJc w:val="left"/>
      <w:pPr>
        <w:ind w:left="1825" w:hanging="240"/>
      </w:pPr>
      <w:rPr>
        <w:rFonts w:hint="default"/>
      </w:rPr>
    </w:lvl>
    <w:lvl w:ilvl="3">
      <w:start w:val="1"/>
      <w:numFmt w:val="bullet"/>
      <w:lvlText w:val="•"/>
      <w:lvlJc w:val="left"/>
      <w:pPr>
        <w:ind w:left="2688" w:hanging="240"/>
      </w:pPr>
      <w:rPr>
        <w:rFonts w:hint="default"/>
      </w:rPr>
    </w:lvl>
    <w:lvl w:ilvl="4">
      <w:start w:val="1"/>
      <w:numFmt w:val="bullet"/>
      <w:lvlText w:val="•"/>
      <w:lvlJc w:val="left"/>
      <w:pPr>
        <w:ind w:left="3551" w:hanging="240"/>
      </w:pPr>
      <w:rPr>
        <w:rFonts w:hint="default"/>
      </w:rPr>
    </w:lvl>
    <w:lvl w:ilvl="5">
      <w:start w:val="1"/>
      <w:numFmt w:val="bullet"/>
      <w:lvlText w:val="•"/>
      <w:lvlJc w:val="left"/>
      <w:pPr>
        <w:ind w:left="4414" w:hanging="240"/>
      </w:pPr>
      <w:rPr>
        <w:rFonts w:hint="default"/>
      </w:rPr>
    </w:lvl>
    <w:lvl w:ilvl="6">
      <w:start w:val="1"/>
      <w:numFmt w:val="bullet"/>
      <w:lvlText w:val="•"/>
      <w:lvlJc w:val="left"/>
      <w:pPr>
        <w:ind w:left="5276" w:hanging="240"/>
      </w:pPr>
      <w:rPr>
        <w:rFonts w:hint="default"/>
      </w:rPr>
    </w:lvl>
    <w:lvl w:ilvl="7">
      <w:start w:val="1"/>
      <w:numFmt w:val="bullet"/>
      <w:lvlText w:val="•"/>
      <w:lvlJc w:val="left"/>
      <w:pPr>
        <w:ind w:left="6139" w:hanging="240"/>
      </w:pPr>
      <w:rPr>
        <w:rFonts w:hint="default"/>
      </w:rPr>
    </w:lvl>
    <w:lvl w:ilvl="8">
      <w:start w:val="1"/>
      <w:numFmt w:val="bullet"/>
      <w:lvlText w:val="•"/>
      <w:lvlJc w:val="left"/>
      <w:pPr>
        <w:ind w:left="7002" w:hanging="240"/>
      </w:pPr>
      <w:rPr>
        <w:rFonts w:hint="default"/>
      </w:rPr>
    </w:lvl>
  </w:abstractNum>
  <w:abstractNum w:abstractNumId="8">
    <w:multiLevelType w:val="hybridMultilevel"/>
    <w:lvl w:ilvl="0">
      <w:start w:val="1"/>
      <w:numFmt w:val="decimal"/>
      <w:lvlText w:val="%1."/>
      <w:lvlJc w:val="left"/>
      <w:pPr>
        <w:ind w:left="100" w:hanging="284"/>
        <w:jc w:val="left"/>
      </w:pPr>
      <w:rPr>
        <w:rFonts w:hint="default" w:ascii="Calibri" w:hAnsi="Calibri" w:eastAsia="Calibri" w:cs="Calibri"/>
        <w:spacing w:val="-4"/>
        <w:w w:val="100"/>
        <w:sz w:val="22"/>
        <w:szCs w:val="22"/>
      </w:rPr>
    </w:lvl>
    <w:lvl w:ilvl="1">
      <w:start w:val="1"/>
      <w:numFmt w:val="bullet"/>
      <w:lvlText w:val="•"/>
      <w:lvlJc w:val="left"/>
      <w:pPr>
        <w:ind w:left="962" w:hanging="284"/>
      </w:pPr>
      <w:rPr>
        <w:rFonts w:hint="default"/>
      </w:rPr>
    </w:lvl>
    <w:lvl w:ilvl="2">
      <w:start w:val="1"/>
      <w:numFmt w:val="bullet"/>
      <w:lvlText w:val="•"/>
      <w:lvlJc w:val="left"/>
      <w:pPr>
        <w:ind w:left="1825" w:hanging="284"/>
      </w:pPr>
      <w:rPr>
        <w:rFonts w:hint="default"/>
      </w:rPr>
    </w:lvl>
    <w:lvl w:ilvl="3">
      <w:start w:val="1"/>
      <w:numFmt w:val="bullet"/>
      <w:lvlText w:val="•"/>
      <w:lvlJc w:val="left"/>
      <w:pPr>
        <w:ind w:left="2688" w:hanging="284"/>
      </w:pPr>
      <w:rPr>
        <w:rFonts w:hint="default"/>
      </w:rPr>
    </w:lvl>
    <w:lvl w:ilvl="4">
      <w:start w:val="1"/>
      <w:numFmt w:val="bullet"/>
      <w:lvlText w:val="•"/>
      <w:lvlJc w:val="left"/>
      <w:pPr>
        <w:ind w:left="3551" w:hanging="284"/>
      </w:pPr>
      <w:rPr>
        <w:rFonts w:hint="default"/>
      </w:rPr>
    </w:lvl>
    <w:lvl w:ilvl="5">
      <w:start w:val="1"/>
      <w:numFmt w:val="bullet"/>
      <w:lvlText w:val="•"/>
      <w:lvlJc w:val="left"/>
      <w:pPr>
        <w:ind w:left="4414" w:hanging="284"/>
      </w:pPr>
      <w:rPr>
        <w:rFonts w:hint="default"/>
      </w:rPr>
    </w:lvl>
    <w:lvl w:ilvl="6">
      <w:start w:val="1"/>
      <w:numFmt w:val="bullet"/>
      <w:lvlText w:val="•"/>
      <w:lvlJc w:val="left"/>
      <w:pPr>
        <w:ind w:left="5276" w:hanging="284"/>
      </w:pPr>
      <w:rPr>
        <w:rFonts w:hint="default"/>
      </w:rPr>
    </w:lvl>
    <w:lvl w:ilvl="7">
      <w:start w:val="1"/>
      <w:numFmt w:val="bullet"/>
      <w:lvlText w:val="•"/>
      <w:lvlJc w:val="left"/>
      <w:pPr>
        <w:ind w:left="6139" w:hanging="284"/>
      </w:pPr>
      <w:rPr>
        <w:rFonts w:hint="default"/>
      </w:rPr>
    </w:lvl>
    <w:lvl w:ilvl="8">
      <w:start w:val="1"/>
      <w:numFmt w:val="bullet"/>
      <w:lvlText w:val="•"/>
      <w:lvlJc w:val="left"/>
      <w:pPr>
        <w:ind w:left="7002" w:hanging="284"/>
      </w:pPr>
      <w:rPr>
        <w:rFonts w:hint="default"/>
      </w:rPr>
    </w:lvl>
  </w:abstractNum>
  <w:abstractNum w:abstractNumId="7">
    <w:multiLevelType w:val="hybridMultilevel"/>
    <w:lvl w:ilvl="0">
      <w:start w:val="1"/>
      <w:numFmt w:val="decimal"/>
      <w:lvlText w:val="%1."/>
      <w:lvlJc w:val="left"/>
      <w:pPr>
        <w:ind w:left="100" w:hanging="364"/>
        <w:jc w:val="left"/>
      </w:pPr>
      <w:rPr>
        <w:rFonts w:hint="default" w:ascii="Calibri" w:hAnsi="Calibri" w:eastAsia="Calibri" w:cs="Calibri"/>
        <w:spacing w:val="-5"/>
        <w:w w:val="100"/>
        <w:sz w:val="22"/>
        <w:szCs w:val="22"/>
      </w:rPr>
    </w:lvl>
    <w:lvl w:ilvl="1">
      <w:start w:val="1"/>
      <w:numFmt w:val="bullet"/>
      <w:lvlText w:val="•"/>
      <w:lvlJc w:val="left"/>
      <w:pPr>
        <w:ind w:left="962" w:hanging="364"/>
      </w:pPr>
      <w:rPr>
        <w:rFonts w:hint="default"/>
      </w:rPr>
    </w:lvl>
    <w:lvl w:ilvl="2">
      <w:start w:val="1"/>
      <w:numFmt w:val="bullet"/>
      <w:lvlText w:val="•"/>
      <w:lvlJc w:val="left"/>
      <w:pPr>
        <w:ind w:left="1825" w:hanging="364"/>
      </w:pPr>
      <w:rPr>
        <w:rFonts w:hint="default"/>
      </w:rPr>
    </w:lvl>
    <w:lvl w:ilvl="3">
      <w:start w:val="1"/>
      <w:numFmt w:val="bullet"/>
      <w:lvlText w:val="•"/>
      <w:lvlJc w:val="left"/>
      <w:pPr>
        <w:ind w:left="2688" w:hanging="364"/>
      </w:pPr>
      <w:rPr>
        <w:rFonts w:hint="default"/>
      </w:rPr>
    </w:lvl>
    <w:lvl w:ilvl="4">
      <w:start w:val="1"/>
      <w:numFmt w:val="bullet"/>
      <w:lvlText w:val="•"/>
      <w:lvlJc w:val="left"/>
      <w:pPr>
        <w:ind w:left="3551" w:hanging="364"/>
      </w:pPr>
      <w:rPr>
        <w:rFonts w:hint="default"/>
      </w:rPr>
    </w:lvl>
    <w:lvl w:ilvl="5">
      <w:start w:val="1"/>
      <w:numFmt w:val="bullet"/>
      <w:lvlText w:val="•"/>
      <w:lvlJc w:val="left"/>
      <w:pPr>
        <w:ind w:left="4414" w:hanging="364"/>
      </w:pPr>
      <w:rPr>
        <w:rFonts w:hint="default"/>
      </w:rPr>
    </w:lvl>
    <w:lvl w:ilvl="6">
      <w:start w:val="1"/>
      <w:numFmt w:val="bullet"/>
      <w:lvlText w:val="•"/>
      <w:lvlJc w:val="left"/>
      <w:pPr>
        <w:ind w:left="5276" w:hanging="364"/>
      </w:pPr>
      <w:rPr>
        <w:rFonts w:hint="default"/>
      </w:rPr>
    </w:lvl>
    <w:lvl w:ilvl="7">
      <w:start w:val="1"/>
      <w:numFmt w:val="bullet"/>
      <w:lvlText w:val="•"/>
      <w:lvlJc w:val="left"/>
      <w:pPr>
        <w:ind w:left="6139" w:hanging="364"/>
      </w:pPr>
      <w:rPr>
        <w:rFonts w:hint="default"/>
      </w:rPr>
    </w:lvl>
    <w:lvl w:ilvl="8">
      <w:start w:val="1"/>
      <w:numFmt w:val="bullet"/>
      <w:lvlText w:val="•"/>
      <w:lvlJc w:val="left"/>
      <w:pPr>
        <w:ind w:left="7002" w:hanging="364"/>
      </w:pPr>
      <w:rPr>
        <w:rFonts w:hint="default"/>
      </w:rPr>
    </w:lvl>
  </w:abstractNum>
  <w:abstractNum w:abstractNumId="6">
    <w:multiLevelType w:val="hybridMultilevel"/>
    <w:lvl w:ilvl="0">
      <w:start w:val="1"/>
      <w:numFmt w:val="decimal"/>
      <w:lvlText w:val="%1."/>
      <w:lvlJc w:val="left"/>
      <w:pPr>
        <w:ind w:left="316" w:hanging="216"/>
        <w:jc w:val="left"/>
      </w:pPr>
      <w:rPr>
        <w:rFonts w:hint="default" w:ascii="Calibri" w:hAnsi="Calibri" w:eastAsia="Calibri" w:cs="Calibri"/>
        <w:w w:val="100"/>
        <w:sz w:val="22"/>
        <w:szCs w:val="22"/>
      </w:rPr>
    </w:lvl>
    <w:lvl w:ilvl="1">
      <w:start w:val="1"/>
      <w:numFmt w:val="bullet"/>
      <w:lvlText w:val="•"/>
      <w:lvlJc w:val="left"/>
      <w:pPr>
        <w:ind w:left="1158" w:hanging="216"/>
      </w:pPr>
      <w:rPr>
        <w:rFonts w:hint="default"/>
      </w:rPr>
    </w:lvl>
    <w:lvl w:ilvl="2">
      <w:start w:val="1"/>
      <w:numFmt w:val="bullet"/>
      <w:lvlText w:val="•"/>
      <w:lvlJc w:val="left"/>
      <w:pPr>
        <w:ind w:left="1997" w:hanging="216"/>
      </w:pPr>
      <w:rPr>
        <w:rFonts w:hint="default"/>
      </w:rPr>
    </w:lvl>
    <w:lvl w:ilvl="3">
      <w:start w:val="1"/>
      <w:numFmt w:val="bullet"/>
      <w:lvlText w:val="•"/>
      <w:lvlJc w:val="left"/>
      <w:pPr>
        <w:ind w:left="2836" w:hanging="216"/>
      </w:pPr>
      <w:rPr>
        <w:rFonts w:hint="default"/>
      </w:rPr>
    </w:lvl>
    <w:lvl w:ilvl="4">
      <w:start w:val="1"/>
      <w:numFmt w:val="bullet"/>
      <w:lvlText w:val="•"/>
      <w:lvlJc w:val="left"/>
      <w:pPr>
        <w:ind w:left="3675" w:hanging="216"/>
      </w:pPr>
      <w:rPr>
        <w:rFonts w:hint="default"/>
      </w:rPr>
    </w:lvl>
    <w:lvl w:ilvl="5">
      <w:start w:val="1"/>
      <w:numFmt w:val="bullet"/>
      <w:lvlText w:val="•"/>
      <w:lvlJc w:val="left"/>
      <w:pPr>
        <w:ind w:left="4514" w:hanging="216"/>
      </w:pPr>
      <w:rPr>
        <w:rFonts w:hint="default"/>
      </w:rPr>
    </w:lvl>
    <w:lvl w:ilvl="6">
      <w:start w:val="1"/>
      <w:numFmt w:val="bullet"/>
      <w:lvlText w:val="•"/>
      <w:lvlJc w:val="left"/>
      <w:pPr>
        <w:ind w:left="5352" w:hanging="216"/>
      </w:pPr>
      <w:rPr>
        <w:rFonts w:hint="default"/>
      </w:rPr>
    </w:lvl>
    <w:lvl w:ilvl="7">
      <w:start w:val="1"/>
      <w:numFmt w:val="bullet"/>
      <w:lvlText w:val="•"/>
      <w:lvlJc w:val="left"/>
      <w:pPr>
        <w:ind w:left="6191" w:hanging="216"/>
      </w:pPr>
      <w:rPr>
        <w:rFonts w:hint="default"/>
      </w:rPr>
    </w:lvl>
    <w:lvl w:ilvl="8">
      <w:start w:val="1"/>
      <w:numFmt w:val="bullet"/>
      <w:lvlText w:val="•"/>
      <w:lvlJc w:val="left"/>
      <w:pPr>
        <w:ind w:left="7030" w:hanging="216"/>
      </w:pPr>
      <w:rPr>
        <w:rFonts w:hint="default"/>
      </w:rPr>
    </w:lvl>
  </w:abstractNum>
  <w:abstractNum w:abstractNumId="5">
    <w:multiLevelType w:val="hybridMultilevel"/>
    <w:lvl w:ilvl="0">
      <w:start w:val="1"/>
      <w:numFmt w:val="decimal"/>
      <w:lvlText w:val="%1."/>
      <w:lvlJc w:val="left"/>
      <w:pPr>
        <w:ind w:left="100" w:hanging="224"/>
        <w:jc w:val="left"/>
      </w:pPr>
      <w:rPr>
        <w:rFonts w:hint="default" w:ascii="Calibri" w:hAnsi="Calibri" w:eastAsia="Calibri" w:cs="Calibri"/>
        <w:w w:val="100"/>
        <w:sz w:val="22"/>
        <w:szCs w:val="22"/>
      </w:rPr>
    </w:lvl>
    <w:lvl w:ilvl="1">
      <w:start w:val="1"/>
      <w:numFmt w:val="bullet"/>
      <w:lvlText w:val="•"/>
      <w:lvlJc w:val="left"/>
      <w:pPr>
        <w:ind w:left="962" w:hanging="224"/>
      </w:pPr>
      <w:rPr>
        <w:rFonts w:hint="default"/>
      </w:rPr>
    </w:lvl>
    <w:lvl w:ilvl="2">
      <w:start w:val="1"/>
      <w:numFmt w:val="bullet"/>
      <w:lvlText w:val="•"/>
      <w:lvlJc w:val="left"/>
      <w:pPr>
        <w:ind w:left="1825" w:hanging="224"/>
      </w:pPr>
      <w:rPr>
        <w:rFonts w:hint="default"/>
      </w:rPr>
    </w:lvl>
    <w:lvl w:ilvl="3">
      <w:start w:val="1"/>
      <w:numFmt w:val="bullet"/>
      <w:lvlText w:val="•"/>
      <w:lvlJc w:val="left"/>
      <w:pPr>
        <w:ind w:left="2688" w:hanging="224"/>
      </w:pPr>
      <w:rPr>
        <w:rFonts w:hint="default"/>
      </w:rPr>
    </w:lvl>
    <w:lvl w:ilvl="4">
      <w:start w:val="1"/>
      <w:numFmt w:val="bullet"/>
      <w:lvlText w:val="•"/>
      <w:lvlJc w:val="left"/>
      <w:pPr>
        <w:ind w:left="3551" w:hanging="224"/>
      </w:pPr>
      <w:rPr>
        <w:rFonts w:hint="default"/>
      </w:rPr>
    </w:lvl>
    <w:lvl w:ilvl="5">
      <w:start w:val="1"/>
      <w:numFmt w:val="bullet"/>
      <w:lvlText w:val="•"/>
      <w:lvlJc w:val="left"/>
      <w:pPr>
        <w:ind w:left="4414" w:hanging="224"/>
      </w:pPr>
      <w:rPr>
        <w:rFonts w:hint="default"/>
      </w:rPr>
    </w:lvl>
    <w:lvl w:ilvl="6">
      <w:start w:val="1"/>
      <w:numFmt w:val="bullet"/>
      <w:lvlText w:val="•"/>
      <w:lvlJc w:val="left"/>
      <w:pPr>
        <w:ind w:left="5276" w:hanging="224"/>
      </w:pPr>
      <w:rPr>
        <w:rFonts w:hint="default"/>
      </w:rPr>
    </w:lvl>
    <w:lvl w:ilvl="7">
      <w:start w:val="1"/>
      <w:numFmt w:val="bullet"/>
      <w:lvlText w:val="•"/>
      <w:lvlJc w:val="left"/>
      <w:pPr>
        <w:ind w:left="6139" w:hanging="224"/>
      </w:pPr>
      <w:rPr>
        <w:rFonts w:hint="default"/>
      </w:rPr>
    </w:lvl>
    <w:lvl w:ilvl="8">
      <w:start w:val="1"/>
      <w:numFmt w:val="bullet"/>
      <w:lvlText w:val="•"/>
      <w:lvlJc w:val="left"/>
      <w:pPr>
        <w:ind w:left="7002" w:hanging="224"/>
      </w:pPr>
      <w:rPr>
        <w:rFonts w:hint="default"/>
      </w:rPr>
    </w:lvl>
  </w:abstractNum>
  <w:abstractNum w:abstractNumId="4">
    <w:multiLevelType w:val="hybridMultilevel"/>
    <w:lvl w:ilvl="0">
      <w:start w:val="1"/>
      <w:numFmt w:val="decimal"/>
      <w:lvlText w:val="%1."/>
      <w:lvlJc w:val="left"/>
      <w:pPr>
        <w:ind w:left="100" w:hanging="220"/>
        <w:jc w:val="left"/>
      </w:pPr>
      <w:rPr>
        <w:rFonts w:hint="default" w:ascii="Calibri" w:hAnsi="Calibri" w:eastAsia="Calibri" w:cs="Calibri"/>
        <w:w w:val="100"/>
        <w:sz w:val="22"/>
        <w:szCs w:val="22"/>
      </w:rPr>
    </w:lvl>
    <w:lvl w:ilvl="1">
      <w:start w:val="1"/>
      <w:numFmt w:val="bullet"/>
      <w:lvlText w:val="•"/>
      <w:lvlJc w:val="left"/>
      <w:pPr>
        <w:ind w:left="962" w:hanging="220"/>
      </w:pPr>
      <w:rPr>
        <w:rFonts w:hint="default"/>
      </w:rPr>
    </w:lvl>
    <w:lvl w:ilvl="2">
      <w:start w:val="1"/>
      <w:numFmt w:val="bullet"/>
      <w:lvlText w:val="•"/>
      <w:lvlJc w:val="left"/>
      <w:pPr>
        <w:ind w:left="1825" w:hanging="220"/>
      </w:pPr>
      <w:rPr>
        <w:rFonts w:hint="default"/>
      </w:rPr>
    </w:lvl>
    <w:lvl w:ilvl="3">
      <w:start w:val="1"/>
      <w:numFmt w:val="bullet"/>
      <w:lvlText w:val="•"/>
      <w:lvlJc w:val="left"/>
      <w:pPr>
        <w:ind w:left="2688" w:hanging="220"/>
      </w:pPr>
      <w:rPr>
        <w:rFonts w:hint="default"/>
      </w:rPr>
    </w:lvl>
    <w:lvl w:ilvl="4">
      <w:start w:val="1"/>
      <w:numFmt w:val="bullet"/>
      <w:lvlText w:val="•"/>
      <w:lvlJc w:val="left"/>
      <w:pPr>
        <w:ind w:left="3551" w:hanging="220"/>
      </w:pPr>
      <w:rPr>
        <w:rFonts w:hint="default"/>
      </w:rPr>
    </w:lvl>
    <w:lvl w:ilvl="5">
      <w:start w:val="1"/>
      <w:numFmt w:val="bullet"/>
      <w:lvlText w:val="•"/>
      <w:lvlJc w:val="left"/>
      <w:pPr>
        <w:ind w:left="4414" w:hanging="220"/>
      </w:pPr>
      <w:rPr>
        <w:rFonts w:hint="default"/>
      </w:rPr>
    </w:lvl>
    <w:lvl w:ilvl="6">
      <w:start w:val="1"/>
      <w:numFmt w:val="bullet"/>
      <w:lvlText w:val="•"/>
      <w:lvlJc w:val="left"/>
      <w:pPr>
        <w:ind w:left="5276" w:hanging="220"/>
      </w:pPr>
      <w:rPr>
        <w:rFonts w:hint="default"/>
      </w:rPr>
    </w:lvl>
    <w:lvl w:ilvl="7">
      <w:start w:val="1"/>
      <w:numFmt w:val="bullet"/>
      <w:lvlText w:val="•"/>
      <w:lvlJc w:val="left"/>
      <w:pPr>
        <w:ind w:left="6139" w:hanging="220"/>
      </w:pPr>
      <w:rPr>
        <w:rFonts w:hint="default"/>
      </w:rPr>
    </w:lvl>
    <w:lvl w:ilvl="8">
      <w:start w:val="1"/>
      <w:numFmt w:val="bullet"/>
      <w:lvlText w:val="•"/>
      <w:lvlJc w:val="left"/>
      <w:pPr>
        <w:ind w:left="7002" w:hanging="220"/>
      </w:pPr>
      <w:rPr>
        <w:rFonts w:hint="default"/>
      </w:rPr>
    </w:lvl>
  </w:abstractNum>
  <w:abstractNum w:abstractNumId="3">
    <w:multiLevelType w:val="hybridMultilevel"/>
    <w:lvl w:ilvl="0">
      <w:start w:val="1"/>
      <w:numFmt w:val="decimal"/>
      <w:lvlText w:val="%1."/>
      <w:lvlJc w:val="left"/>
      <w:pPr>
        <w:ind w:left="100" w:hanging="244"/>
        <w:jc w:val="left"/>
      </w:pPr>
      <w:rPr>
        <w:rFonts w:hint="default" w:ascii="Calibri" w:hAnsi="Calibri" w:eastAsia="Calibri" w:cs="Calibri"/>
        <w:spacing w:val="-25"/>
        <w:w w:val="100"/>
        <w:sz w:val="22"/>
        <w:szCs w:val="22"/>
      </w:rPr>
    </w:lvl>
    <w:lvl w:ilvl="1">
      <w:start w:val="1"/>
      <w:numFmt w:val="bullet"/>
      <w:lvlText w:val="•"/>
      <w:lvlJc w:val="left"/>
      <w:pPr>
        <w:ind w:left="960" w:hanging="244"/>
      </w:pPr>
      <w:rPr>
        <w:rFonts w:hint="default"/>
      </w:rPr>
    </w:lvl>
    <w:lvl w:ilvl="2">
      <w:start w:val="1"/>
      <w:numFmt w:val="bullet"/>
      <w:lvlText w:val="•"/>
      <w:lvlJc w:val="left"/>
      <w:pPr>
        <w:ind w:left="1821" w:hanging="244"/>
      </w:pPr>
      <w:rPr>
        <w:rFonts w:hint="default"/>
      </w:rPr>
    </w:lvl>
    <w:lvl w:ilvl="3">
      <w:start w:val="1"/>
      <w:numFmt w:val="bullet"/>
      <w:lvlText w:val="•"/>
      <w:lvlJc w:val="left"/>
      <w:pPr>
        <w:ind w:left="2682" w:hanging="244"/>
      </w:pPr>
      <w:rPr>
        <w:rFonts w:hint="default"/>
      </w:rPr>
    </w:lvl>
    <w:lvl w:ilvl="4">
      <w:start w:val="1"/>
      <w:numFmt w:val="bullet"/>
      <w:lvlText w:val="•"/>
      <w:lvlJc w:val="left"/>
      <w:pPr>
        <w:ind w:left="3543" w:hanging="244"/>
      </w:pPr>
      <w:rPr>
        <w:rFonts w:hint="default"/>
      </w:rPr>
    </w:lvl>
    <w:lvl w:ilvl="5">
      <w:start w:val="1"/>
      <w:numFmt w:val="bullet"/>
      <w:lvlText w:val="•"/>
      <w:lvlJc w:val="left"/>
      <w:pPr>
        <w:ind w:left="4404" w:hanging="244"/>
      </w:pPr>
      <w:rPr>
        <w:rFonts w:hint="default"/>
      </w:rPr>
    </w:lvl>
    <w:lvl w:ilvl="6">
      <w:start w:val="1"/>
      <w:numFmt w:val="bullet"/>
      <w:lvlText w:val="•"/>
      <w:lvlJc w:val="left"/>
      <w:pPr>
        <w:ind w:left="5264" w:hanging="244"/>
      </w:pPr>
      <w:rPr>
        <w:rFonts w:hint="default"/>
      </w:rPr>
    </w:lvl>
    <w:lvl w:ilvl="7">
      <w:start w:val="1"/>
      <w:numFmt w:val="bullet"/>
      <w:lvlText w:val="•"/>
      <w:lvlJc w:val="left"/>
      <w:pPr>
        <w:ind w:left="6125" w:hanging="244"/>
      </w:pPr>
      <w:rPr>
        <w:rFonts w:hint="default"/>
      </w:rPr>
    </w:lvl>
    <w:lvl w:ilvl="8">
      <w:start w:val="1"/>
      <w:numFmt w:val="bullet"/>
      <w:lvlText w:val="•"/>
      <w:lvlJc w:val="left"/>
      <w:pPr>
        <w:ind w:left="6986" w:hanging="244"/>
      </w:pPr>
      <w:rPr>
        <w:rFonts w:hint="default"/>
      </w:rPr>
    </w:lvl>
  </w:abstractNum>
  <w:abstractNum w:abstractNumId="2">
    <w:multiLevelType w:val="hybridMultilevel"/>
    <w:lvl w:ilvl="0">
      <w:start w:val="1"/>
      <w:numFmt w:val="decimal"/>
      <w:lvlText w:val="%1."/>
      <w:lvlJc w:val="left"/>
      <w:pPr>
        <w:ind w:left="100" w:hanging="216"/>
        <w:jc w:val="left"/>
      </w:pPr>
      <w:rPr>
        <w:rFonts w:hint="default" w:ascii="Calibri" w:hAnsi="Calibri" w:eastAsia="Calibri" w:cs="Calibri"/>
        <w:w w:val="100"/>
        <w:sz w:val="22"/>
        <w:szCs w:val="22"/>
      </w:rPr>
    </w:lvl>
    <w:lvl w:ilvl="1">
      <w:start w:val="1"/>
      <w:numFmt w:val="bullet"/>
      <w:lvlText w:val="•"/>
      <w:lvlJc w:val="left"/>
      <w:pPr>
        <w:ind w:left="960" w:hanging="216"/>
      </w:pPr>
      <w:rPr>
        <w:rFonts w:hint="default"/>
      </w:rPr>
    </w:lvl>
    <w:lvl w:ilvl="2">
      <w:start w:val="1"/>
      <w:numFmt w:val="bullet"/>
      <w:lvlText w:val="•"/>
      <w:lvlJc w:val="left"/>
      <w:pPr>
        <w:ind w:left="1821" w:hanging="216"/>
      </w:pPr>
      <w:rPr>
        <w:rFonts w:hint="default"/>
      </w:rPr>
    </w:lvl>
    <w:lvl w:ilvl="3">
      <w:start w:val="1"/>
      <w:numFmt w:val="bullet"/>
      <w:lvlText w:val="•"/>
      <w:lvlJc w:val="left"/>
      <w:pPr>
        <w:ind w:left="2682" w:hanging="216"/>
      </w:pPr>
      <w:rPr>
        <w:rFonts w:hint="default"/>
      </w:rPr>
    </w:lvl>
    <w:lvl w:ilvl="4">
      <w:start w:val="1"/>
      <w:numFmt w:val="bullet"/>
      <w:lvlText w:val="•"/>
      <w:lvlJc w:val="left"/>
      <w:pPr>
        <w:ind w:left="3543" w:hanging="216"/>
      </w:pPr>
      <w:rPr>
        <w:rFonts w:hint="default"/>
      </w:rPr>
    </w:lvl>
    <w:lvl w:ilvl="5">
      <w:start w:val="1"/>
      <w:numFmt w:val="bullet"/>
      <w:lvlText w:val="•"/>
      <w:lvlJc w:val="left"/>
      <w:pPr>
        <w:ind w:left="4404" w:hanging="216"/>
      </w:pPr>
      <w:rPr>
        <w:rFonts w:hint="default"/>
      </w:rPr>
    </w:lvl>
    <w:lvl w:ilvl="6">
      <w:start w:val="1"/>
      <w:numFmt w:val="bullet"/>
      <w:lvlText w:val="•"/>
      <w:lvlJc w:val="left"/>
      <w:pPr>
        <w:ind w:left="5264" w:hanging="216"/>
      </w:pPr>
      <w:rPr>
        <w:rFonts w:hint="default"/>
      </w:rPr>
    </w:lvl>
    <w:lvl w:ilvl="7">
      <w:start w:val="1"/>
      <w:numFmt w:val="bullet"/>
      <w:lvlText w:val="•"/>
      <w:lvlJc w:val="left"/>
      <w:pPr>
        <w:ind w:left="6125" w:hanging="216"/>
      </w:pPr>
      <w:rPr>
        <w:rFonts w:hint="default"/>
      </w:rPr>
    </w:lvl>
    <w:lvl w:ilvl="8">
      <w:start w:val="1"/>
      <w:numFmt w:val="bullet"/>
      <w:lvlText w:val="•"/>
      <w:lvlJc w:val="left"/>
      <w:pPr>
        <w:ind w:left="6986" w:hanging="216"/>
      </w:pPr>
      <w:rPr>
        <w:rFonts w:hint="default"/>
      </w:rPr>
    </w:lvl>
  </w:abstractNum>
  <w:abstractNum w:abstractNumId="1">
    <w:multiLevelType w:val="hybridMultilevel"/>
    <w:lvl w:ilvl="0">
      <w:start w:val="1"/>
      <w:numFmt w:val="decimal"/>
      <w:lvlText w:val="%1."/>
      <w:lvlJc w:val="left"/>
      <w:pPr>
        <w:ind w:left="100" w:hanging="272"/>
        <w:jc w:val="left"/>
      </w:pPr>
      <w:rPr>
        <w:rFonts w:hint="default" w:ascii="Calibri" w:hAnsi="Calibri" w:eastAsia="Calibri" w:cs="Calibri"/>
        <w:spacing w:val="-6"/>
        <w:w w:val="100"/>
        <w:sz w:val="22"/>
        <w:szCs w:val="22"/>
      </w:rPr>
    </w:lvl>
    <w:lvl w:ilvl="1">
      <w:start w:val="1"/>
      <w:numFmt w:val="bullet"/>
      <w:lvlText w:val="•"/>
      <w:lvlJc w:val="left"/>
      <w:pPr>
        <w:ind w:left="962" w:hanging="272"/>
      </w:pPr>
      <w:rPr>
        <w:rFonts w:hint="default"/>
      </w:rPr>
    </w:lvl>
    <w:lvl w:ilvl="2">
      <w:start w:val="1"/>
      <w:numFmt w:val="bullet"/>
      <w:lvlText w:val="•"/>
      <w:lvlJc w:val="left"/>
      <w:pPr>
        <w:ind w:left="1825" w:hanging="272"/>
      </w:pPr>
      <w:rPr>
        <w:rFonts w:hint="default"/>
      </w:rPr>
    </w:lvl>
    <w:lvl w:ilvl="3">
      <w:start w:val="1"/>
      <w:numFmt w:val="bullet"/>
      <w:lvlText w:val="•"/>
      <w:lvlJc w:val="left"/>
      <w:pPr>
        <w:ind w:left="2688" w:hanging="272"/>
      </w:pPr>
      <w:rPr>
        <w:rFonts w:hint="default"/>
      </w:rPr>
    </w:lvl>
    <w:lvl w:ilvl="4">
      <w:start w:val="1"/>
      <w:numFmt w:val="bullet"/>
      <w:lvlText w:val="•"/>
      <w:lvlJc w:val="left"/>
      <w:pPr>
        <w:ind w:left="3551" w:hanging="272"/>
      </w:pPr>
      <w:rPr>
        <w:rFonts w:hint="default"/>
      </w:rPr>
    </w:lvl>
    <w:lvl w:ilvl="5">
      <w:start w:val="1"/>
      <w:numFmt w:val="bullet"/>
      <w:lvlText w:val="•"/>
      <w:lvlJc w:val="left"/>
      <w:pPr>
        <w:ind w:left="4414" w:hanging="272"/>
      </w:pPr>
      <w:rPr>
        <w:rFonts w:hint="default"/>
      </w:rPr>
    </w:lvl>
    <w:lvl w:ilvl="6">
      <w:start w:val="1"/>
      <w:numFmt w:val="bullet"/>
      <w:lvlText w:val="•"/>
      <w:lvlJc w:val="left"/>
      <w:pPr>
        <w:ind w:left="5276" w:hanging="272"/>
      </w:pPr>
      <w:rPr>
        <w:rFonts w:hint="default"/>
      </w:rPr>
    </w:lvl>
    <w:lvl w:ilvl="7">
      <w:start w:val="1"/>
      <w:numFmt w:val="bullet"/>
      <w:lvlText w:val="•"/>
      <w:lvlJc w:val="left"/>
      <w:pPr>
        <w:ind w:left="6139" w:hanging="272"/>
      </w:pPr>
      <w:rPr>
        <w:rFonts w:hint="default"/>
      </w:rPr>
    </w:lvl>
    <w:lvl w:ilvl="8">
      <w:start w:val="1"/>
      <w:numFmt w:val="bullet"/>
      <w:lvlText w:val="•"/>
      <w:lvlJc w:val="left"/>
      <w:pPr>
        <w:ind w:left="7002" w:hanging="272"/>
      </w:pPr>
      <w:rPr>
        <w:rFonts w:hint="default"/>
      </w:rPr>
    </w:lvl>
  </w:abstractNum>
  <w:abstractNum w:abstractNumId="0">
    <w:multiLevelType w:val="hybridMultilevel"/>
    <w:lvl w:ilvl="0">
      <w:start w:val="1"/>
      <w:numFmt w:val="decimal"/>
      <w:lvlText w:val="%1."/>
      <w:lvlJc w:val="left"/>
      <w:pPr>
        <w:ind w:left="100" w:hanging="220"/>
        <w:jc w:val="left"/>
      </w:pPr>
      <w:rPr>
        <w:rFonts w:hint="default" w:ascii="Calibri" w:hAnsi="Calibri" w:eastAsia="Calibri" w:cs="Calibri"/>
        <w:w w:val="100"/>
        <w:sz w:val="22"/>
        <w:szCs w:val="22"/>
      </w:rPr>
    </w:lvl>
    <w:lvl w:ilvl="1">
      <w:start w:val="1"/>
      <w:numFmt w:val="bullet"/>
      <w:lvlText w:val="•"/>
      <w:lvlJc w:val="left"/>
      <w:pPr>
        <w:ind w:left="962" w:hanging="220"/>
      </w:pPr>
      <w:rPr>
        <w:rFonts w:hint="default"/>
      </w:rPr>
    </w:lvl>
    <w:lvl w:ilvl="2">
      <w:start w:val="1"/>
      <w:numFmt w:val="bullet"/>
      <w:lvlText w:val="•"/>
      <w:lvlJc w:val="left"/>
      <w:pPr>
        <w:ind w:left="1825" w:hanging="220"/>
      </w:pPr>
      <w:rPr>
        <w:rFonts w:hint="default"/>
      </w:rPr>
    </w:lvl>
    <w:lvl w:ilvl="3">
      <w:start w:val="1"/>
      <w:numFmt w:val="bullet"/>
      <w:lvlText w:val="•"/>
      <w:lvlJc w:val="left"/>
      <w:pPr>
        <w:ind w:left="2688" w:hanging="220"/>
      </w:pPr>
      <w:rPr>
        <w:rFonts w:hint="default"/>
      </w:rPr>
    </w:lvl>
    <w:lvl w:ilvl="4">
      <w:start w:val="1"/>
      <w:numFmt w:val="bullet"/>
      <w:lvlText w:val="•"/>
      <w:lvlJc w:val="left"/>
      <w:pPr>
        <w:ind w:left="3551" w:hanging="220"/>
      </w:pPr>
      <w:rPr>
        <w:rFonts w:hint="default"/>
      </w:rPr>
    </w:lvl>
    <w:lvl w:ilvl="5">
      <w:start w:val="1"/>
      <w:numFmt w:val="bullet"/>
      <w:lvlText w:val="•"/>
      <w:lvlJc w:val="left"/>
      <w:pPr>
        <w:ind w:left="4414" w:hanging="220"/>
      </w:pPr>
      <w:rPr>
        <w:rFonts w:hint="default"/>
      </w:rPr>
    </w:lvl>
    <w:lvl w:ilvl="6">
      <w:start w:val="1"/>
      <w:numFmt w:val="bullet"/>
      <w:lvlText w:val="•"/>
      <w:lvlJc w:val="left"/>
      <w:pPr>
        <w:ind w:left="5276" w:hanging="220"/>
      </w:pPr>
      <w:rPr>
        <w:rFonts w:hint="default"/>
      </w:rPr>
    </w:lvl>
    <w:lvl w:ilvl="7">
      <w:start w:val="1"/>
      <w:numFmt w:val="bullet"/>
      <w:lvlText w:val="•"/>
      <w:lvlJc w:val="left"/>
      <w:pPr>
        <w:ind w:left="6139" w:hanging="220"/>
      </w:pPr>
      <w:rPr>
        <w:rFonts w:hint="default"/>
      </w:rPr>
    </w:lvl>
    <w:lvl w:ilvl="8">
      <w:start w:val="1"/>
      <w:numFmt w:val="bullet"/>
      <w:lvlText w:val="•"/>
      <w:lvlJc w:val="left"/>
      <w:pPr>
        <w:ind w:left="7002" w:hanging="220"/>
      </w:pPr>
      <w:rPr>
        <w:rFonts w:hint="default"/>
      </w:rPr>
    </w:lvl>
  </w:abstract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rPr>
  </w:style>
  <w:style w:styleId="BodyText" w:type="paragraph">
    <w:name w:val="Body Text"/>
    <w:basedOn w:val="Normal"/>
    <w:uiPriority w:val="1"/>
    <w:qFormat/>
    <w:pPr>
      <w:ind w:left="100"/>
      <w:jc w:val="both"/>
    </w:pPr>
    <w:rPr>
      <w:rFonts w:ascii="Calibri" w:hAnsi="Calibri" w:eastAsia="Calibri" w:cs="Calibri"/>
      <w:sz w:val="22"/>
      <w:szCs w:val="22"/>
    </w:rPr>
  </w:style>
  <w:style w:styleId="ListParagraph" w:type="paragraph">
    <w:name w:val="List Paragraph"/>
    <w:basedOn w:val="Normal"/>
    <w:uiPriority w:val="1"/>
    <w:qFormat/>
    <w:pPr>
      <w:ind w:left="100"/>
      <w:jc w:val="both"/>
    </w:pPr>
    <w:rPr>
      <w:rFonts w:ascii="Calibri" w:hAnsi="Calibri" w:eastAsia="Calibri" w:cs="Calibri"/>
    </w:rPr>
  </w:style>
  <w:style w:styleId="TableParagraph" w:type="paragraph">
    <w:name w:val="Table Paragraph"/>
    <w:basedOn w:val="Normal"/>
    <w:uiPriority w:val="1"/>
    <w:qFormat/>
    <w:pPr>
      <w:spacing w:before="36"/>
      <w:ind w:left="40"/>
    </w:pPr>
    <w:rPr>
      <w:rFonts w:ascii="Calibri" w:hAnsi="Calibri" w:eastAsia="Calibri" w:cs="Calibri"/>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Monitim</dc:creator>
  <dcterms:created xsi:type="dcterms:W3CDTF">2016-09-06T22:34:05Z</dcterms:created>
  <dcterms:modified xsi:type="dcterms:W3CDTF">2016-09-06T22:34:05Z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2016-03-28T00:00:00Z</vt:filetime>
  </property>
  <property fmtid="{D5CDD505-2E9C-101B-9397-08002B2CF9AE}" pid="3" name="Creator">
    <vt:lpwstr>Microsoft® Office Word 2007</vt:lpwstr>
  </property>
  <property fmtid="{D5CDD505-2E9C-101B-9397-08002B2CF9AE}" pid="4" name="LastSaved">
    <vt:filetime>2016-09-06T00:00:00Z</vt:filetime>
  </property>
</Properties>
</file>