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FA" w:rsidRPr="00DE67FA" w:rsidRDefault="00DE67FA" w:rsidP="00DE67FA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DE67FA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2.11, REGULADORA DA TAXA POR PRESTACIÓN DO SERVICIO RECOLLIDA DE RESIDUOS</w:t>
      </w:r>
    </w:p>
    <w:p w:rsidR="00DE67FA" w:rsidRDefault="00DE67FA" w:rsidP="00DE67FA"/>
    <w:p w:rsidR="00DE67FA" w:rsidRDefault="00DE67FA" w:rsidP="00DE67FA"/>
    <w:p w:rsidR="00DE67FA" w:rsidRPr="00DE67FA" w:rsidRDefault="00DE67FA" w:rsidP="00DE67FA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Artigo</w:t>
      </w: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1º.</w:t>
      </w: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Fundamento e </w:t>
      </w:r>
      <w:proofErr w:type="spellStart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natureza</w:t>
      </w:r>
      <w:proofErr w:type="spellEnd"/>
    </w:p>
    <w:p w:rsidR="00DE67FA" w:rsidRDefault="00DE67FA" w:rsidP="00DE67FA"/>
    <w:p w:rsidR="00DE67FA" w:rsidRDefault="00DE67FA" w:rsidP="00DE67FA"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Real Decreto Legislativo 2/2004, de 5 de marzo, polo que </w:t>
      </w:r>
      <w:proofErr w:type="spellStart"/>
      <w:r>
        <w:t>apróbase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este Concello establece 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prestación do servicio </w:t>
      </w:r>
      <w:proofErr w:type="spellStart"/>
      <w:r>
        <w:t>recollida</w:t>
      </w:r>
      <w:proofErr w:type="spellEnd"/>
      <w:r>
        <w:t xml:space="preserve">, transporte e </w:t>
      </w:r>
      <w:proofErr w:type="spellStart"/>
      <w:r>
        <w:t>tratamento</w:t>
      </w:r>
      <w:proofErr w:type="spellEnd"/>
      <w:r>
        <w:t xml:space="preserve"> de residuos, que se </w:t>
      </w:r>
      <w:proofErr w:type="spellStart"/>
      <w:r>
        <w:t>rexerá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presente Ordenanza e </w:t>
      </w:r>
      <w:proofErr w:type="spellStart"/>
      <w:r>
        <w:t>demáis</w:t>
      </w:r>
      <w:proofErr w:type="spellEnd"/>
      <w:r>
        <w:t xml:space="preserve"> normativa de aplicación.</w:t>
      </w:r>
    </w:p>
    <w:p w:rsidR="00DE67FA" w:rsidRDefault="00DE67FA" w:rsidP="00DE67FA"/>
    <w:p w:rsidR="00DE67FA" w:rsidRDefault="00DE67FA" w:rsidP="00DE67FA"/>
    <w:p w:rsidR="00DE67FA" w:rsidRPr="00DE67FA" w:rsidRDefault="00DE67FA" w:rsidP="00DE67FA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2º. </w:t>
      </w:r>
      <w:proofErr w:type="spellStart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Feito</w:t>
      </w:r>
      <w:proofErr w:type="spellEnd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imponible</w:t>
      </w:r>
    </w:p>
    <w:p w:rsidR="00DE67FA" w:rsidRDefault="00DE67FA" w:rsidP="00DE67FA"/>
    <w:p w:rsidR="00DE67FA" w:rsidRDefault="00DE67FA" w:rsidP="00DE67FA">
      <w:proofErr w:type="spellStart"/>
      <w:r>
        <w:t>Constitue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a </w:t>
      </w:r>
      <w:proofErr w:type="spellStart"/>
      <w:r>
        <w:t>actividade</w:t>
      </w:r>
      <w:proofErr w:type="spellEnd"/>
      <w:r>
        <w:t xml:space="preserve"> administrativa, de recepción </w:t>
      </w:r>
      <w:proofErr w:type="spellStart"/>
      <w:r>
        <w:t>obrigatoria</w:t>
      </w:r>
      <w:proofErr w:type="spellEnd"/>
      <w:r>
        <w:t xml:space="preserve">, da prestación do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recollida</w:t>
      </w:r>
      <w:proofErr w:type="spellEnd"/>
      <w:r>
        <w:t xml:space="preserve">, transporte e </w:t>
      </w:r>
      <w:proofErr w:type="spellStart"/>
      <w:r>
        <w:t>tratamento</w:t>
      </w:r>
      <w:proofErr w:type="spellEnd"/>
      <w:r>
        <w:t xml:space="preserve"> de residuos domésticos e </w:t>
      </w:r>
      <w:proofErr w:type="spellStart"/>
      <w:r>
        <w:t>comerciais</w:t>
      </w:r>
      <w:proofErr w:type="spellEnd"/>
      <w:r>
        <w:t xml:space="preserve">, en </w:t>
      </w:r>
      <w:proofErr w:type="spellStart"/>
      <w:r>
        <w:t>vivendas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locales </w:t>
      </w:r>
      <w:proofErr w:type="spellStart"/>
      <w:r>
        <w:t>onde</w:t>
      </w:r>
      <w:proofErr w:type="spellEnd"/>
      <w:r>
        <w:t xml:space="preserve"> se </w:t>
      </w:r>
      <w:proofErr w:type="spellStart"/>
      <w:r>
        <w:t>exerzan</w:t>
      </w:r>
      <w:proofErr w:type="spellEnd"/>
      <w:r>
        <w:t xml:space="preserve"> actividades </w:t>
      </w:r>
      <w:proofErr w:type="spellStart"/>
      <w:r>
        <w:t>comerciais</w:t>
      </w:r>
      <w:proofErr w:type="spellEnd"/>
      <w:r>
        <w:t xml:space="preserve">, </w:t>
      </w:r>
      <w:proofErr w:type="spellStart"/>
      <w:r>
        <w:t>industriais</w:t>
      </w:r>
      <w:proofErr w:type="spellEnd"/>
      <w:r>
        <w:t xml:space="preserve">, </w:t>
      </w:r>
      <w:proofErr w:type="spellStart"/>
      <w:r>
        <w:t>profesionais</w:t>
      </w:r>
      <w:proofErr w:type="spellEnd"/>
      <w:r>
        <w:t xml:space="preserve">, servicios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coas </w:t>
      </w:r>
      <w:proofErr w:type="spellStart"/>
      <w:r>
        <w:t>definicións</w:t>
      </w:r>
      <w:proofErr w:type="spellEnd"/>
      <w:r>
        <w:t xml:space="preserve"> </w:t>
      </w:r>
      <w:proofErr w:type="spellStart"/>
      <w:r>
        <w:t>recollidas</w:t>
      </w:r>
      <w:proofErr w:type="spellEnd"/>
      <w:r>
        <w:t xml:space="preserve"> na </w:t>
      </w:r>
      <w:proofErr w:type="spellStart"/>
      <w:r>
        <w:t>lei</w:t>
      </w:r>
      <w:proofErr w:type="spellEnd"/>
      <w:r>
        <w:t xml:space="preserve"> 22/2011, de 28 de </w:t>
      </w:r>
      <w:proofErr w:type="spellStart"/>
      <w:r>
        <w:t>xullo</w:t>
      </w:r>
      <w:proofErr w:type="spellEnd"/>
      <w:r>
        <w:t>, de residuos e solos contaminados.</w:t>
      </w:r>
    </w:p>
    <w:p w:rsidR="00DE67FA" w:rsidRDefault="00DE67FA" w:rsidP="00DE67FA"/>
    <w:p w:rsidR="00DE67FA" w:rsidRDefault="00DE67FA" w:rsidP="00DE67FA"/>
    <w:p w:rsidR="00DE67FA" w:rsidRPr="00DE67FA" w:rsidRDefault="00DE67FA" w:rsidP="00DE67FA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3º. </w:t>
      </w:r>
      <w:proofErr w:type="spellStart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Suxeito</w:t>
      </w:r>
      <w:proofErr w:type="spellEnd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pasivo</w:t>
      </w:r>
    </w:p>
    <w:p w:rsidR="00DE67FA" w:rsidRDefault="00DE67FA" w:rsidP="00DE67FA"/>
    <w:p w:rsidR="00DE67FA" w:rsidRDefault="00DE67FA" w:rsidP="00DE67FA">
      <w:r>
        <w:t xml:space="preserve">1.-Son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contribuíntes</w:t>
      </w:r>
      <w:proofErr w:type="spellEnd"/>
      <w:r>
        <w:t xml:space="preserve"> as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e as entidades a que se </w:t>
      </w:r>
      <w:proofErr w:type="spellStart"/>
      <w:r>
        <w:t>refire</w:t>
      </w:r>
      <w:proofErr w:type="spellEnd"/>
      <w:r>
        <w:t xml:space="preserve"> o artigo 35.4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que ocupen, utilicen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dispoñan</w:t>
      </w:r>
      <w:proofErr w:type="spellEnd"/>
      <w:r>
        <w:t xml:space="preserve"> de </w:t>
      </w:r>
      <w:proofErr w:type="spellStart"/>
      <w:r>
        <w:t>vivendas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</w:t>
      </w:r>
      <w:proofErr w:type="spellStart"/>
      <w:r>
        <w:t>suxeitos</w:t>
      </w:r>
      <w:proofErr w:type="spellEnd"/>
      <w:r>
        <w:t xml:space="preserve"> á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sexan</w:t>
      </w:r>
      <w:proofErr w:type="spellEnd"/>
      <w:r>
        <w:t xml:space="preserve"> a título de propietario </w:t>
      </w:r>
      <w:proofErr w:type="spellStart"/>
      <w:r>
        <w:t>ou</w:t>
      </w:r>
      <w:proofErr w:type="spellEnd"/>
      <w:r>
        <w:t xml:space="preserve"> de usufructuario, </w:t>
      </w:r>
      <w:proofErr w:type="spellStart"/>
      <w:r>
        <w:t>habitacionista</w:t>
      </w:r>
      <w:proofErr w:type="spellEnd"/>
      <w:r>
        <w:t xml:space="preserve">, arrendatario, </w:t>
      </w:r>
      <w:proofErr w:type="spellStart"/>
      <w:r>
        <w:t>ou</w:t>
      </w:r>
      <w:proofErr w:type="spellEnd"/>
      <w:r>
        <w:t xml:space="preserve"> incluso de precario.</w:t>
      </w:r>
    </w:p>
    <w:p w:rsidR="00DE67FA" w:rsidRDefault="00DE67FA" w:rsidP="00DE67FA"/>
    <w:p w:rsidR="00DE67FA" w:rsidRDefault="00DE67FA" w:rsidP="00DE67FA">
      <w:r>
        <w:t xml:space="preserve">2.-Terá a consideración de </w:t>
      </w:r>
      <w:proofErr w:type="spellStart"/>
      <w:r>
        <w:t>suxeito</w:t>
      </w:r>
      <w:proofErr w:type="spellEnd"/>
      <w:r>
        <w:t xml:space="preserve"> pasivo substituto do </w:t>
      </w:r>
      <w:proofErr w:type="spellStart"/>
      <w:r>
        <w:t>contribuínte</w:t>
      </w:r>
      <w:proofErr w:type="spellEnd"/>
      <w:r>
        <w:t xml:space="preserve"> o propietario das </w:t>
      </w:r>
      <w:proofErr w:type="spellStart"/>
      <w:r>
        <w:t>vivendas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que </w:t>
      </w:r>
      <w:proofErr w:type="spellStart"/>
      <w:r>
        <w:t>poderá</w:t>
      </w:r>
      <w:proofErr w:type="spellEnd"/>
      <w:r>
        <w:t xml:space="preserve"> repercutir, no </w:t>
      </w:r>
      <w:proofErr w:type="spellStart"/>
      <w:r>
        <w:t>seu</w:t>
      </w:r>
      <w:proofErr w:type="spellEnd"/>
      <w:r>
        <w:t xml:space="preserve"> caso, as cotas </w:t>
      </w:r>
      <w:proofErr w:type="spellStart"/>
      <w:r>
        <w:t>satisfeitas</w:t>
      </w:r>
      <w:proofErr w:type="spellEnd"/>
      <w:r>
        <w:t xml:space="preserve"> sobre os usuarios de </w:t>
      </w:r>
      <w:proofErr w:type="spellStart"/>
      <w:r>
        <w:t>aqueles</w:t>
      </w:r>
      <w:proofErr w:type="spellEnd"/>
      <w:r>
        <w:t xml:space="preserve"> beneficiarios do servicio.</w:t>
      </w:r>
    </w:p>
    <w:p w:rsidR="00DE67FA" w:rsidRDefault="00DE67FA" w:rsidP="00DE67FA"/>
    <w:p w:rsidR="00DE67FA" w:rsidRDefault="00DE67FA" w:rsidP="00DE67FA"/>
    <w:p w:rsidR="00DE67FA" w:rsidRPr="00DE67FA" w:rsidRDefault="00DE67FA" w:rsidP="00DE67FA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4º. </w:t>
      </w:r>
      <w:proofErr w:type="spellStart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Exencions</w:t>
      </w:r>
      <w:proofErr w:type="spellEnd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e </w:t>
      </w:r>
      <w:proofErr w:type="spellStart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bonificacions</w:t>
      </w:r>
      <w:proofErr w:type="spellEnd"/>
    </w:p>
    <w:p w:rsidR="00DE67FA" w:rsidRDefault="00DE67FA" w:rsidP="00DE67FA"/>
    <w:p w:rsidR="00DE67FA" w:rsidRDefault="00A30A35" w:rsidP="00DE67FA">
      <w:r>
        <w:t>1.-</w:t>
      </w:r>
      <w:r w:rsidR="00DE67FA">
        <w:t xml:space="preserve">So </w:t>
      </w:r>
      <w:proofErr w:type="spellStart"/>
      <w:r w:rsidR="00DE67FA">
        <w:t>admitiranse</w:t>
      </w:r>
      <w:proofErr w:type="spellEnd"/>
      <w:r w:rsidR="00DE67FA">
        <w:t xml:space="preserve"> os beneficios </w:t>
      </w:r>
      <w:proofErr w:type="spellStart"/>
      <w:r w:rsidR="00DE67FA">
        <w:t>fiscais</w:t>
      </w:r>
      <w:proofErr w:type="spellEnd"/>
      <w:r w:rsidR="00DE67FA">
        <w:t xml:space="preserve"> que </w:t>
      </w:r>
      <w:proofErr w:type="spellStart"/>
      <w:r w:rsidR="00DE67FA">
        <w:t>veñan</w:t>
      </w:r>
      <w:proofErr w:type="spellEnd"/>
      <w:r w:rsidR="00DE67FA">
        <w:t xml:space="preserve"> establecidos </w:t>
      </w:r>
      <w:proofErr w:type="spellStart"/>
      <w:r w:rsidR="00DE67FA">
        <w:t>nas</w:t>
      </w:r>
      <w:proofErr w:type="spellEnd"/>
      <w:r w:rsidR="00DE67FA">
        <w:t xml:space="preserve"> normas con rango de </w:t>
      </w:r>
      <w:proofErr w:type="spellStart"/>
      <w:r w:rsidR="00DE67FA">
        <w:t>Lei</w:t>
      </w:r>
      <w:proofErr w:type="spellEnd"/>
      <w:r w:rsidR="00DE67FA">
        <w:t xml:space="preserve"> </w:t>
      </w:r>
      <w:proofErr w:type="spellStart"/>
      <w:r w:rsidR="00DE67FA">
        <w:t>ou</w:t>
      </w:r>
      <w:proofErr w:type="spellEnd"/>
      <w:r w:rsidR="00DE67FA">
        <w:t xml:space="preserve"> deriven de tratados </w:t>
      </w:r>
      <w:proofErr w:type="spellStart"/>
      <w:r w:rsidR="00DE67FA">
        <w:t>ou</w:t>
      </w:r>
      <w:proofErr w:type="spellEnd"/>
      <w:r w:rsidR="00DE67FA">
        <w:t xml:space="preserve"> </w:t>
      </w:r>
      <w:proofErr w:type="spellStart"/>
      <w:r w:rsidR="00DE67FA">
        <w:t>acordos</w:t>
      </w:r>
      <w:proofErr w:type="spellEnd"/>
      <w:r w:rsidR="00DE67FA">
        <w:t xml:space="preserve"> </w:t>
      </w:r>
      <w:proofErr w:type="spellStart"/>
      <w:r w:rsidR="00DE67FA">
        <w:t>internacionais</w:t>
      </w:r>
      <w:proofErr w:type="spellEnd"/>
      <w:r w:rsidR="00DE67FA">
        <w:t>.</w:t>
      </w:r>
    </w:p>
    <w:p w:rsidR="00DE67FA" w:rsidRDefault="00DE67FA" w:rsidP="00DE67FA"/>
    <w:p w:rsidR="00A30A35" w:rsidRDefault="00A30A35" w:rsidP="00A30A35">
      <w:proofErr w:type="gramStart"/>
      <w:r>
        <w:t>2.–</w:t>
      </w:r>
      <w:proofErr w:type="gramEnd"/>
      <w:r>
        <w:t xml:space="preserve">Conforme o </w:t>
      </w:r>
      <w:proofErr w:type="spellStart"/>
      <w:r>
        <w:t>sinalado</w:t>
      </w:r>
      <w:proofErr w:type="spellEnd"/>
      <w:r>
        <w:t xml:space="preserve"> no artigo 24.4 do Texto 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</w:t>
      </w:r>
      <w:proofErr w:type="spellStart"/>
      <w:r>
        <w:t>atendendo</w:t>
      </w:r>
      <w:proofErr w:type="spellEnd"/>
      <w:r>
        <w:t xml:space="preserve"> á </w:t>
      </w:r>
      <w:proofErr w:type="spellStart"/>
      <w:r>
        <w:t>capaci</w:t>
      </w:r>
      <w:proofErr w:type="spellEnd"/>
      <w:r>
        <w:t xml:space="preserve">- </w:t>
      </w:r>
      <w:proofErr w:type="spellStart"/>
      <w:r>
        <w:t>dade</w:t>
      </w:r>
      <w:proofErr w:type="spellEnd"/>
      <w:r>
        <w:t xml:space="preserve"> económica dos </w:t>
      </w:r>
      <w:proofErr w:type="spellStart"/>
      <w:r>
        <w:t>suxeitos</w:t>
      </w:r>
      <w:proofErr w:type="spellEnd"/>
      <w:r>
        <w:t xml:space="preserve"> pasivos, </w:t>
      </w:r>
      <w:proofErr w:type="spellStart"/>
      <w:r>
        <w:t>establécese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bonificación do 50 por </w:t>
      </w:r>
      <w:proofErr w:type="spellStart"/>
      <w:r>
        <w:t>cento</w:t>
      </w:r>
      <w:proofErr w:type="spellEnd"/>
      <w:r>
        <w:t xml:space="preserve"> da cota tributaria das </w:t>
      </w:r>
      <w:proofErr w:type="spellStart"/>
      <w:r>
        <w:t>vivendas</w:t>
      </w:r>
      <w:proofErr w:type="spellEnd"/>
      <w:r>
        <w:t xml:space="preserve"> para     os </w:t>
      </w:r>
      <w:proofErr w:type="spellStart"/>
      <w:r>
        <w:t>contribuíntes</w:t>
      </w:r>
      <w:proofErr w:type="spellEnd"/>
      <w:r>
        <w:t xml:space="preserve"> que cumplan </w:t>
      </w:r>
      <w:proofErr w:type="spellStart"/>
      <w:r>
        <w:t>calquera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    requisitos:</w:t>
      </w:r>
    </w:p>
    <w:p w:rsidR="00A30A35" w:rsidRDefault="00A30A35" w:rsidP="00A30A35">
      <w:pPr>
        <w:pStyle w:val="Prrafodelista"/>
        <w:numPr>
          <w:ilvl w:val="0"/>
          <w:numId w:val="1"/>
        </w:numPr>
      </w:pPr>
      <w:r>
        <w:t>Ser beneficiarios da Renta de Inserción Social de Galicia (RISGA).</w:t>
      </w:r>
    </w:p>
    <w:p w:rsidR="00A30A35" w:rsidRDefault="00A30A35" w:rsidP="00A30A35">
      <w:pPr>
        <w:pStyle w:val="Prrafodelista"/>
        <w:numPr>
          <w:ilvl w:val="0"/>
          <w:numId w:val="1"/>
        </w:numPr>
      </w:pPr>
      <w:r>
        <w:lastRenderedPageBreak/>
        <w:t xml:space="preserve">A </w:t>
      </w:r>
      <w:proofErr w:type="spellStart"/>
      <w:r>
        <w:t>totalidade</w:t>
      </w:r>
      <w:proofErr w:type="spellEnd"/>
      <w:r>
        <w:t xml:space="preserve"> de ingresos por </w:t>
      </w:r>
      <w:proofErr w:type="spellStart"/>
      <w:r>
        <w:t>calquera</w:t>
      </w:r>
      <w:proofErr w:type="spellEnd"/>
      <w:r>
        <w:t xml:space="preserve"> concepto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que convivan na </w:t>
      </w:r>
      <w:proofErr w:type="spellStart"/>
      <w:r>
        <w:t>vivenda</w:t>
      </w:r>
      <w:proofErr w:type="spellEnd"/>
      <w:r>
        <w:t xml:space="preserve"> non rebasen o indicador de renta de efectos múltiples (IPREM)   anual.</w:t>
      </w:r>
    </w:p>
    <w:p w:rsidR="00A30A35" w:rsidRDefault="00A30A35" w:rsidP="00A30A35"/>
    <w:p w:rsidR="00A30A35" w:rsidRDefault="00A30A35" w:rsidP="00A30A35">
      <w:proofErr w:type="gramStart"/>
      <w:r>
        <w:t>3.–</w:t>
      </w:r>
      <w:proofErr w:type="gramEnd"/>
      <w:r>
        <w:t xml:space="preserve">Conforme o </w:t>
      </w:r>
      <w:proofErr w:type="spellStart"/>
      <w:r>
        <w:t>sinalado</w:t>
      </w:r>
      <w:proofErr w:type="spellEnd"/>
      <w:r>
        <w:t xml:space="preserve"> na </w:t>
      </w:r>
      <w:proofErr w:type="spellStart"/>
      <w:r>
        <w:t>Lei</w:t>
      </w:r>
      <w:proofErr w:type="spellEnd"/>
      <w:r>
        <w:t xml:space="preserve"> 40/2003, de Protección a las Familias Numerosas, as familias numerosas de categoría </w:t>
      </w:r>
      <w:proofErr w:type="spellStart"/>
      <w:r>
        <w:t>xeral</w:t>
      </w:r>
      <w:proofErr w:type="spellEnd"/>
      <w:r>
        <w:t xml:space="preserve">,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bonificación do 20 por </w:t>
      </w:r>
      <w:proofErr w:type="spellStart"/>
      <w:r>
        <w:t>cento</w:t>
      </w:r>
      <w:proofErr w:type="spellEnd"/>
      <w:r>
        <w:t xml:space="preserve"> da cota tributaria e do 30 por </w:t>
      </w:r>
      <w:proofErr w:type="spellStart"/>
      <w:r>
        <w:t>cento</w:t>
      </w:r>
      <w:proofErr w:type="spellEnd"/>
      <w:r>
        <w:t xml:space="preserve"> para familias de categoría especial.</w:t>
      </w:r>
    </w:p>
    <w:p w:rsidR="00A30A35" w:rsidRDefault="00A30A35" w:rsidP="00A30A35"/>
    <w:p w:rsidR="00A30A35" w:rsidRDefault="00A30A35" w:rsidP="00A30A35">
      <w:r>
        <w:t xml:space="preserve">Para ter </w:t>
      </w:r>
      <w:proofErr w:type="spellStart"/>
      <w:r>
        <w:t>dereito</w:t>
      </w:r>
      <w:proofErr w:type="spellEnd"/>
      <w:r>
        <w:t xml:space="preserve"> a estas </w:t>
      </w:r>
      <w:proofErr w:type="spellStart"/>
      <w:r>
        <w:t>bonificacións</w:t>
      </w:r>
      <w:proofErr w:type="spellEnd"/>
      <w:r>
        <w:t xml:space="preserve">, que serán incompatibles entre sí, os interesados deberán cumplir os requisitos     no momento do devengo da </w:t>
      </w:r>
      <w:proofErr w:type="spellStart"/>
      <w:r>
        <w:t>taxa</w:t>
      </w:r>
      <w:proofErr w:type="spellEnd"/>
      <w:r>
        <w:t xml:space="preserve"> e deberán </w:t>
      </w:r>
      <w:proofErr w:type="spellStart"/>
      <w:r>
        <w:t>solicitala</w:t>
      </w:r>
      <w:proofErr w:type="spellEnd"/>
      <w:r>
        <w:t xml:space="preserve"> por escrito no Concello con </w:t>
      </w:r>
      <w:proofErr w:type="spellStart"/>
      <w:r>
        <w:t>anterioridade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31 de marzo de cada </w:t>
      </w:r>
      <w:proofErr w:type="spellStart"/>
      <w:r>
        <w:t>exercicio</w:t>
      </w:r>
      <w:proofErr w:type="spellEnd"/>
      <w:r>
        <w:t xml:space="preserve">. A través dos servicios </w:t>
      </w:r>
      <w:proofErr w:type="spellStart"/>
      <w:r>
        <w:t>sociais</w:t>
      </w:r>
      <w:proofErr w:type="spellEnd"/>
      <w:r>
        <w:t xml:space="preserve"> se emitirá informe sobre o </w:t>
      </w:r>
      <w:proofErr w:type="spellStart"/>
      <w:r>
        <w:t>cumprimento</w:t>
      </w:r>
      <w:proofErr w:type="spellEnd"/>
      <w:r>
        <w:t xml:space="preserve"> dos requisitos para as solicitudes do apartado 2 </w:t>
      </w:r>
      <w:proofErr w:type="spellStart"/>
      <w:r>
        <w:t>sinalado</w:t>
      </w:r>
      <w:proofErr w:type="spellEnd"/>
      <w:r>
        <w:t xml:space="preserve"> anteriormente para a incorporación no padrón tributario   </w:t>
      </w:r>
      <w:proofErr w:type="spellStart"/>
      <w:r>
        <w:t>correspondente</w:t>
      </w:r>
      <w:proofErr w:type="spellEnd"/>
      <w:r>
        <w:t>.</w:t>
      </w:r>
    </w:p>
    <w:p w:rsidR="00A30A35" w:rsidRDefault="00A30A35" w:rsidP="00A30A35"/>
    <w:p w:rsidR="00A30A35" w:rsidRDefault="00A30A35" w:rsidP="00A30A35">
      <w:r>
        <w:t xml:space="preserve">No caso de solicitantes que non </w:t>
      </w:r>
      <w:proofErr w:type="spellStart"/>
      <w:r>
        <w:t>teñan</w:t>
      </w:r>
      <w:proofErr w:type="spellEnd"/>
      <w:r>
        <w:t xml:space="preserve"> a </w:t>
      </w:r>
      <w:proofErr w:type="spellStart"/>
      <w:r>
        <w:t>propiedade</w:t>
      </w:r>
      <w:proofErr w:type="spellEnd"/>
      <w:r>
        <w:t xml:space="preserve"> do inmoble, deberán </w:t>
      </w:r>
      <w:proofErr w:type="spellStart"/>
      <w:r>
        <w:t>achegar</w:t>
      </w:r>
      <w:proofErr w:type="spellEnd"/>
      <w:r>
        <w:t xml:space="preserve"> contrato de </w:t>
      </w:r>
      <w:proofErr w:type="spellStart"/>
      <w:r>
        <w:t>aluguer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se </w:t>
      </w:r>
      <w:proofErr w:type="spellStart"/>
      <w:r>
        <w:t>especi</w:t>
      </w:r>
      <w:proofErr w:type="spellEnd"/>
      <w:r>
        <w:t xml:space="preserve">- fique que </w:t>
      </w:r>
      <w:proofErr w:type="spellStart"/>
      <w:r>
        <w:t>lle</w:t>
      </w:r>
      <w:proofErr w:type="spellEnd"/>
      <w:r>
        <w:t xml:space="preserve"> corresponde o pagamento da </w:t>
      </w:r>
      <w:proofErr w:type="spellStart"/>
      <w:r>
        <w:t>taxa</w:t>
      </w:r>
      <w:proofErr w:type="spellEnd"/>
      <w:r>
        <w:t xml:space="preserve"> do   </w:t>
      </w:r>
      <w:proofErr w:type="spellStart"/>
      <w:r>
        <w:t>lixo</w:t>
      </w:r>
      <w:proofErr w:type="spellEnd"/>
      <w:r>
        <w:t>.</w:t>
      </w:r>
    </w:p>
    <w:p w:rsidR="00DE67FA" w:rsidRDefault="00DE67FA" w:rsidP="00DE67FA"/>
    <w:p w:rsidR="00DE67FA" w:rsidRPr="00DE67FA" w:rsidRDefault="00DE67FA" w:rsidP="00DE67FA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Artigo 5º. Cota tributaria</w:t>
      </w:r>
    </w:p>
    <w:p w:rsidR="00DE67FA" w:rsidRDefault="00DE67FA" w:rsidP="00DE67FA"/>
    <w:p w:rsidR="00DE67FA" w:rsidRDefault="00DE67FA" w:rsidP="00DE67FA">
      <w:r>
        <w:t xml:space="preserve">1.-A cota Tributaria consistirá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fixa</w:t>
      </w:r>
      <w:proofErr w:type="spellEnd"/>
      <w:r>
        <w:t xml:space="preserve">, por </w:t>
      </w:r>
      <w:proofErr w:type="spellStart"/>
      <w:r>
        <w:t>unidade</w:t>
      </w:r>
      <w:proofErr w:type="spellEnd"/>
      <w:r>
        <w:t xml:space="preserve"> de inmoble o local, que se determinará en función da </w:t>
      </w:r>
      <w:proofErr w:type="spellStart"/>
      <w:r>
        <w:t>natureza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destino dos inmobles.</w:t>
      </w:r>
    </w:p>
    <w:p w:rsidR="00DE67FA" w:rsidRDefault="00DE67FA" w:rsidP="00DE67FA"/>
    <w:p w:rsidR="00DE67FA" w:rsidRDefault="00DE67FA" w:rsidP="00DE67FA">
      <w:r>
        <w:t xml:space="preserve">2.-A tal efecto, </w:t>
      </w:r>
      <w:proofErr w:type="spellStart"/>
      <w:r>
        <w:t>aplicarase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tarifas:</w:t>
      </w:r>
    </w:p>
    <w:p w:rsidR="00DE67FA" w:rsidRDefault="00DE67FA" w:rsidP="00DE67FA"/>
    <w:p w:rsidR="00DE67FA" w:rsidRDefault="00DE67FA" w:rsidP="00DE67FA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5024"/>
        <w:gridCol w:w="1359"/>
        <w:gridCol w:w="730"/>
        <w:gridCol w:w="745"/>
      </w:tblGrid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Epígrafe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Cota anual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Mínimo</w:t>
            </w:r>
          </w:p>
        </w:tc>
        <w:tc>
          <w:tcPr>
            <w:tcW w:w="407" w:type="pct"/>
            <w:shd w:val="clear" w:color="auto" w:fill="FFFFFF"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Máximo</w:t>
            </w: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1.1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Vivendas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recollida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 zona urbana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63,00 €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1.2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Vivendas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recollida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no resto de zonas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47,00 €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rHeight w:val="499"/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2.1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.1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Bares, restaurantes, salas de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festa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similares (por m2)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 zona urbana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2,20 €/ m²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140,00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7F1848" w:rsidP="00A30A3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680,00€</w:t>
            </w:r>
          </w:p>
        </w:tc>
      </w:tr>
      <w:tr w:rsidR="00A30A35" w:rsidRPr="00DE67FA" w:rsidTr="00504146">
        <w:trPr>
          <w:trHeight w:val="499"/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.1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Bares, restaurantes, salas de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festa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similares (por m2)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 zona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non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urbana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ata 300 metros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0,70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€/ m²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0,00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A30A35" w:rsidRDefault="00A30A35" w:rsidP="00A30A3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0,00€</w:t>
            </w:r>
          </w:p>
        </w:tc>
      </w:tr>
      <w:tr w:rsidR="00A30A35" w:rsidRPr="00DE67FA" w:rsidTr="00504146">
        <w:trPr>
          <w:trHeight w:val="499"/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.2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Bares, restaurantes, salas de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festa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similares (por m2)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 zona non urbana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300 metros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0 €/ m²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70,00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A30A35" w:rsidRDefault="00A30A35" w:rsidP="009A35D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50,00€</w:t>
            </w: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2.2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.1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Comercios de alimentación, autoservicios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supermercados 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menos de 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00m²(por m²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2,95 €/ m²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180,00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7F1848" w:rsidP="00A30A3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</w:tcPr>
          <w:p w:rsidR="007F1848" w:rsidRPr="00DE67FA" w:rsidRDefault="00A30A35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2.2.2</w:t>
            </w:r>
          </w:p>
        </w:tc>
        <w:tc>
          <w:tcPr>
            <w:tcW w:w="2906" w:type="pct"/>
            <w:shd w:val="clear" w:color="auto" w:fill="FFFFFF"/>
            <w:vAlign w:val="center"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Comercios de alimentación, autoservicios e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supermercados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 entre 500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m² 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800 m</w:t>
            </w:r>
            <w:r w:rsidR="00A30A3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² (por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m²)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3,15€/ m²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Pr="00DE67FA" w:rsidRDefault="007F1848" w:rsidP="00A30A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A30A35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2.2.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906" w:type="pct"/>
            <w:shd w:val="clear" w:color="auto" w:fill="FFFFFF"/>
            <w:vAlign w:val="center"/>
          </w:tcPr>
          <w:p w:rsidR="00A30A35" w:rsidRPr="00DE67FA" w:rsidRDefault="00A30A35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Comercios de alimentación, autoservicios e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supermercados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800 m² (por m²)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30A35" w:rsidRPr="00DE67FA" w:rsidRDefault="00A30A35" w:rsidP="009A35D4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3,4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5€/ m²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A30A35" w:rsidRPr="00DE67FA" w:rsidRDefault="00A30A35" w:rsidP="009A35D4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30A35" w:rsidRPr="00DE67FA" w:rsidRDefault="00A30A35" w:rsidP="009A35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2.3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Residencias,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pensións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e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outros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establecementos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hoteleiros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similares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Pr="00DE67FA" w:rsidRDefault="007F1848" w:rsidP="00A30A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2.3.1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sym w:font="Symbol" w:char="F0D8"/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Ata 5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prazas</w:t>
            </w:r>
            <w:proofErr w:type="spellEnd"/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116,00 €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Pr="00DE67FA" w:rsidRDefault="007F1848" w:rsidP="00A30A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2.3.2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sym w:font="Symbol" w:char="F0D8"/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6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prazas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adiante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por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praza</w:t>
            </w:r>
            <w:proofErr w:type="spellEnd"/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11,00 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€/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praza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adicional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Pr="00DE67FA" w:rsidRDefault="007F1848" w:rsidP="00A30A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2.4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Locales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adicados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 Centros de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ensino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, estudios, despachos, oficinas e similares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1,10 €/ m²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60,00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7F1848" w:rsidP="00A30A3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450,00€</w:t>
            </w: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2.5</w:t>
            </w:r>
          </w:p>
        </w:tc>
        <w:tc>
          <w:tcPr>
            <w:tcW w:w="2906" w:type="pct"/>
            <w:shd w:val="clear" w:color="auto" w:fill="FFFFFF"/>
            <w:vAlign w:val="center"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Establecementos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adicados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 ferreterías 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aluguer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maquinaria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7F1848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1,30 €/ m²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140,00€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7F1848" w:rsidP="00A30A3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450,00€</w:t>
            </w:r>
          </w:p>
        </w:tc>
      </w:tr>
      <w:tr w:rsidR="00A30A35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</w:tcPr>
          <w:p w:rsidR="00A30A35" w:rsidRDefault="00A30A35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>2.6</w:t>
            </w:r>
          </w:p>
        </w:tc>
        <w:tc>
          <w:tcPr>
            <w:tcW w:w="2906" w:type="pct"/>
            <w:shd w:val="clear" w:color="auto" w:fill="FFFFFF"/>
            <w:vAlign w:val="center"/>
          </w:tcPr>
          <w:p w:rsidR="00A30A35" w:rsidRDefault="00A30A35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Moblerías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tendas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electrodomésticos e similares 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outros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productos de gran tamaño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30A35" w:rsidRDefault="00504146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1,30 €/ m²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A30A35" w:rsidRDefault="00A30A35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30A35" w:rsidRDefault="00504146" w:rsidP="00A30A3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150,00€</w:t>
            </w: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2.6</w:t>
            </w:r>
          </w:p>
        </w:tc>
        <w:tc>
          <w:tcPr>
            <w:tcW w:w="2906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Outros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establecementos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non tarifados expresamente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(ata 100 m²)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1,30 €/ m²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80,00</w:t>
            </w:r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7F1848" w:rsidP="00A30A3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7F1848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</w:tcPr>
          <w:p w:rsidR="007F1848" w:rsidRDefault="00504146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2.6</w:t>
            </w:r>
            <w:r w:rsidR="007F184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.1</w:t>
            </w:r>
          </w:p>
        </w:tc>
        <w:tc>
          <w:tcPr>
            <w:tcW w:w="2906" w:type="pct"/>
            <w:shd w:val="clear" w:color="auto" w:fill="FFFFFF"/>
            <w:vAlign w:val="center"/>
          </w:tcPr>
          <w:p w:rsidR="007F1848" w:rsidRPr="00DE67FA" w:rsidRDefault="007F1848" w:rsidP="00DE67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Outros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establecementos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non tarifados expresamente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100 m²)</w:t>
            </w:r>
            <w:r w:rsidR="0050414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zona non urbana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7F1848" w:rsidRDefault="00504146" w:rsidP="00D11E9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1,0</w:t>
            </w:r>
            <w:r w:rsidR="007F184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0 €/ m²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7F1848" w:rsidP="00D11E9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7F1848" w:rsidRDefault="00504146" w:rsidP="00D11E9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  <w:r w:rsidR="007F184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50,00€</w:t>
            </w:r>
          </w:p>
        </w:tc>
      </w:tr>
      <w:tr w:rsidR="00504146" w:rsidRPr="00DE67FA" w:rsidTr="00504146">
        <w:trPr>
          <w:tblCellSpacing w:w="15" w:type="dxa"/>
        </w:trPr>
        <w:tc>
          <w:tcPr>
            <w:tcW w:w="402" w:type="pct"/>
            <w:shd w:val="clear" w:color="auto" w:fill="FFFFFF"/>
            <w:vAlign w:val="center"/>
          </w:tcPr>
          <w:p w:rsidR="00504146" w:rsidRDefault="00504146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2.6.1</w:t>
            </w:r>
          </w:p>
        </w:tc>
        <w:tc>
          <w:tcPr>
            <w:tcW w:w="2906" w:type="pct"/>
            <w:shd w:val="clear" w:color="auto" w:fill="FFFFFF"/>
            <w:vAlign w:val="center"/>
          </w:tcPr>
          <w:p w:rsidR="00504146" w:rsidRPr="00DE67FA" w:rsidRDefault="00504146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Outros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establecementos</w:t>
            </w:r>
            <w:proofErr w:type="spellEnd"/>
            <w:r w:rsidRPr="00DE67F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non tarifados expresamente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100 m²)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zona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urbana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industrial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504146" w:rsidRDefault="00504146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0 €/ m²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504146" w:rsidRDefault="00504146" w:rsidP="009A35D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140,00€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504146" w:rsidRDefault="00504146" w:rsidP="009A35D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450,00€</w:t>
            </w:r>
          </w:p>
        </w:tc>
      </w:tr>
    </w:tbl>
    <w:p w:rsidR="00DE67FA" w:rsidRDefault="00DE67FA" w:rsidP="00DE67FA"/>
    <w:p w:rsidR="00504146" w:rsidRDefault="00504146" w:rsidP="00504146">
      <w:proofErr w:type="gramStart"/>
      <w:r>
        <w:t>3.–</w:t>
      </w:r>
      <w:proofErr w:type="gramEnd"/>
      <w:r>
        <w:t>Normas  específicas.</w:t>
      </w:r>
    </w:p>
    <w:p w:rsidR="00504146" w:rsidRDefault="00504146" w:rsidP="00504146"/>
    <w:p w:rsidR="00504146" w:rsidRDefault="00504146" w:rsidP="00504146">
      <w:r>
        <w:t>a)</w:t>
      </w:r>
      <w:r>
        <w:tab/>
        <w:t xml:space="preserve">No caso das </w:t>
      </w:r>
      <w:proofErr w:type="spellStart"/>
      <w:r>
        <w:t>vivendas</w:t>
      </w:r>
      <w:proofErr w:type="spellEnd"/>
      <w:r>
        <w:t xml:space="preserve">, tributarán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que non </w:t>
      </w:r>
      <w:proofErr w:type="spellStart"/>
      <w:r>
        <w:t>estean</w:t>
      </w:r>
      <w:proofErr w:type="spellEnd"/>
      <w:r>
        <w:t xml:space="preserve"> ocupadas. A </w:t>
      </w:r>
      <w:proofErr w:type="spellStart"/>
      <w:r>
        <w:t>solicitude</w:t>
      </w:r>
      <w:proofErr w:type="spellEnd"/>
      <w:r>
        <w:t xml:space="preserve"> do interesado, mediante informe elaborado por técnico competente que acredite que non se </w:t>
      </w:r>
      <w:proofErr w:type="spellStart"/>
      <w:r>
        <w:t>atopan</w:t>
      </w:r>
      <w:proofErr w:type="spellEnd"/>
      <w:r>
        <w:t xml:space="preserve"> en </w:t>
      </w:r>
      <w:proofErr w:type="spellStart"/>
      <w:r>
        <w:t>condicións</w:t>
      </w:r>
      <w:proofErr w:type="spellEnd"/>
      <w:r>
        <w:t xml:space="preserve"> para ser habitables, </w:t>
      </w:r>
      <w:proofErr w:type="spellStart"/>
      <w:r>
        <w:t>daranse</w:t>
      </w:r>
      <w:proofErr w:type="spellEnd"/>
      <w:r>
        <w:t xml:space="preserve"> de </w:t>
      </w:r>
      <w:proofErr w:type="spellStart"/>
      <w:r>
        <w:t>baixa</w:t>
      </w:r>
      <w:proofErr w:type="spellEnd"/>
      <w:r>
        <w:t xml:space="preserve"> no padrón por un </w:t>
      </w:r>
      <w:proofErr w:type="spellStart"/>
      <w:r>
        <w:t>prazo</w:t>
      </w:r>
      <w:proofErr w:type="spellEnd"/>
      <w:r>
        <w:t xml:space="preserve"> máximo de tres </w:t>
      </w:r>
      <w:proofErr w:type="spellStart"/>
      <w:r>
        <w:t>exercicios</w:t>
      </w:r>
      <w:proofErr w:type="spellEnd"/>
      <w:r>
        <w:t xml:space="preserve">, transcurrido o cal </w:t>
      </w:r>
      <w:proofErr w:type="spellStart"/>
      <w:r>
        <w:t>deberáse</w:t>
      </w:r>
      <w:proofErr w:type="spellEnd"/>
      <w:r>
        <w:t xml:space="preserve"> renovarse e acreditarse a </w:t>
      </w:r>
      <w:proofErr w:type="spellStart"/>
      <w:r>
        <w:t>baixa</w:t>
      </w:r>
      <w:proofErr w:type="spellEnd"/>
      <w:r>
        <w:t xml:space="preserve"> no padrón. En caso de agrupación </w:t>
      </w:r>
      <w:proofErr w:type="spellStart"/>
      <w:r>
        <w:t>ou</w:t>
      </w:r>
      <w:proofErr w:type="spellEnd"/>
      <w:r>
        <w:t xml:space="preserve"> división de </w:t>
      </w:r>
      <w:proofErr w:type="spellStart"/>
      <w:r>
        <w:t>vivendas</w:t>
      </w:r>
      <w:proofErr w:type="spellEnd"/>
      <w:r>
        <w:t xml:space="preserve">, </w:t>
      </w:r>
      <w:proofErr w:type="spellStart"/>
      <w:r>
        <w:t>deberáse</w:t>
      </w:r>
      <w:proofErr w:type="spellEnd"/>
      <w:r>
        <w:t xml:space="preserve"> </w:t>
      </w:r>
      <w:proofErr w:type="spellStart"/>
      <w:r>
        <w:t>achegar</w:t>
      </w:r>
      <w:proofErr w:type="spellEnd"/>
      <w:r>
        <w:t xml:space="preserve"> igualmente o informe técnico que o acredite. A emisión do informe </w:t>
      </w:r>
      <w:proofErr w:type="spellStart"/>
      <w:r>
        <w:t>correspondente</w:t>
      </w:r>
      <w:proofErr w:type="spellEnd"/>
      <w:r>
        <w:t xml:space="preserve"> polos técnicos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suporá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foxa</w:t>
      </w:r>
      <w:proofErr w:type="spellEnd"/>
      <w:r>
        <w:t xml:space="preserve"> de 20,00 €</w:t>
      </w:r>
      <w:r>
        <w:t>.</w:t>
      </w:r>
    </w:p>
    <w:p w:rsidR="00504146" w:rsidRDefault="00504146" w:rsidP="00504146"/>
    <w:p w:rsidR="00504146" w:rsidRDefault="00504146" w:rsidP="00504146">
      <w:r>
        <w:t>b)</w:t>
      </w:r>
      <w:r>
        <w:tab/>
        <w:t xml:space="preserve">No caso de locales do epígrafe 2.1, para o cómputo da superficie afecta a </w:t>
      </w:r>
      <w:proofErr w:type="spellStart"/>
      <w:r>
        <w:t>activ</w:t>
      </w:r>
      <w:r>
        <w:t>idade</w:t>
      </w:r>
      <w:proofErr w:type="spellEnd"/>
      <w:r>
        <w:t xml:space="preserve"> </w:t>
      </w:r>
      <w:proofErr w:type="spellStart"/>
      <w:r>
        <w:t>ademais</w:t>
      </w:r>
      <w:proofErr w:type="spellEnd"/>
      <w:r>
        <w:t xml:space="preserve"> da destinada </w:t>
      </w:r>
      <w:proofErr w:type="spellStart"/>
      <w:r>
        <w:t>ao</w:t>
      </w:r>
      <w:proofErr w:type="spellEnd"/>
      <w:r>
        <w:t xml:space="preserve"> </w:t>
      </w:r>
      <w:r>
        <w:t xml:space="preserve">público, a </w:t>
      </w:r>
      <w:proofErr w:type="spellStart"/>
      <w:r>
        <w:t>adicada</w:t>
      </w:r>
      <w:proofErr w:type="spellEnd"/>
      <w:r>
        <w:t xml:space="preserve"> a </w:t>
      </w:r>
      <w:proofErr w:type="spellStart"/>
      <w:r>
        <w:t>cociñas</w:t>
      </w:r>
      <w:proofErr w:type="spellEnd"/>
      <w:r>
        <w:t xml:space="preserve">, aseos, e as terrazas interiores </w:t>
      </w:r>
      <w:proofErr w:type="spellStart"/>
      <w:r>
        <w:t>e</w:t>
      </w:r>
      <w:proofErr w:type="spellEnd"/>
      <w:r>
        <w:t xml:space="preserve"> exteriores en terreo privado.</w:t>
      </w:r>
    </w:p>
    <w:p w:rsidR="00504146" w:rsidRDefault="00504146" w:rsidP="00504146"/>
    <w:p w:rsidR="00504146" w:rsidRDefault="00504146" w:rsidP="00504146">
      <w:r>
        <w:t>c)</w:t>
      </w:r>
      <w:r>
        <w:tab/>
        <w:t xml:space="preserve">No caso de </w:t>
      </w:r>
      <w:proofErr w:type="spellStart"/>
      <w:r>
        <w:t>locais</w:t>
      </w:r>
      <w:proofErr w:type="spellEnd"/>
      <w:r>
        <w:t xml:space="preserve"> do epígrafe 2.2, para o para o cómputo da superficie afecta 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incluirase</w:t>
      </w:r>
      <w:proofErr w:type="spellEnd"/>
      <w:r>
        <w:t xml:space="preserve"> a </w:t>
      </w:r>
      <w:proofErr w:type="spellStart"/>
      <w:r>
        <w:t>adicada</w:t>
      </w:r>
      <w:proofErr w:type="spellEnd"/>
      <w:r>
        <w:t xml:space="preserve"> a </w:t>
      </w:r>
      <w:proofErr w:type="spellStart"/>
      <w:r>
        <w:t>almacéns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dependencias accesorias a </w:t>
      </w:r>
      <w:proofErr w:type="spellStart"/>
      <w:r>
        <w:t>actividade</w:t>
      </w:r>
      <w:proofErr w:type="spellEnd"/>
      <w:r>
        <w:t xml:space="preserve"> principal.</w:t>
      </w:r>
    </w:p>
    <w:p w:rsidR="00504146" w:rsidRDefault="00504146" w:rsidP="00504146"/>
    <w:p w:rsidR="00504146" w:rsidRDefault="00504146" w:rsidP="00504146">
      <w:r>
        <w:t>d)</w:t>
      </w:r>
      <w:r>
        <w:tab/>
        <w:t xml:space="preserve">Cando por un </w:t>
      </w:r>
      <w:proofErr w:type="spellStart"/>
      <w:r>
        <w:t>mesmo</w:t>
      </w:r>
      <w:proofErr w:type="spellEnd"/>
      <w:r>
        <w:t xml:space="preserve"> local se </w:t>
      </w:r>
      <w:proofErr w:type="spellStart"/>
      <w:r>
        <w:t>veñan</w:t>
      </w:r>
      <w:proofErr w:type="spellEnd"/>
      <w:r>
        <w:t xml:space="preserve"> </w:t>
      </w:r>
      <w:proofErr w:type="spellStart"/>
      <w:r>
        <w:t>desenvolvendo</w:t>
      </w:r>
      <w:proofErr w:type="spellEnd"/>
      <w:r>
        <w:t xml:space="preserve"> actividades que tributen en di</w:t>
      </w:r>
      <w:r>
        <w:t xml:space="preserve">stintos conceptos, </w:t>
      </w:r>
      <w:proofErr w:type="spellStart"/>
      <w:r>
        <w:t>pagarase</w:t>
      </w:r>
      <w:proofErr w:type="spellEnd"/>
      <w:r>
        <w:t xml:space="preserve"> a </w:t>
      </w:r>
      <w:r>
        <w:t xml:space="preserve">tarifa </w:t>
      </w:r>
      <w:proofErr w:type="spellStart"/>
      <w:r>
        <w:t>correspondente</w:t>
      </w:r>
      <w:proofErr w:type="spellEnd"/>
      <w:r>
        <w:t xml:space="preserve"> </w:t>
      </w:r>
      <w:r>
        <w:t xml:space="preserve">á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cuxa</w:t>
      </w:r>
      <w:proofErr w:type="spellEnd"/>
      <w:r>
        <w:t xml:space="preserve"> tarifa </w:t>
      </w:r>
      <w:proofErr w:type="spellStart"/>
      <w:r>
        <w:t>sexa</w:t>
      </w:r>
      <w:proofErr w:type="spellEnd"/>
      <w:r>
        <w:t xml:space="preserve"> </w:t>
      </w:r>
      <w:proofErr w:type="spellStart"/>
      <w:r>
        <w:t>maior</w:t>
      </w:r>
      <w:proofErr w:type="spellEnd"/>
      <w:r>
        <w:t>.</w:t>
      </w:r>
    </w:p>
    <w:p w:rsidR="00504146" w:rsidRDefault="00504146" w:rsidP="00504146"/>
    <w:p w:rsidR="00504146" w:rsidRDefault="00504146" w:rsidP="00504146">
      <w:r>
        <w:t>e)</w:t>
      </w:r>
      <w:r>
        <w:tab/>
        <w:t xml:space="preserve">As actividades </w:t>
      </w:r>
      <w:proofErr w:type="spellStart"/>
      <w:r>
        <w:t>industriais</w:t>
      </w:r>
      <w:proofErr w:type="spellEnd"/>
      <w:r>
        <w:t xml:space="preserve"> que </w:t>
      </w:r>
      <w:proofErr w:type="spellStart"/>
      <w:r>
        <w:t>teñan</w:t>
      </w:r>
      <w:proofErr w:type="spellEnd"/>
      <w:r>
        <w:t xml:space="preserve"> </w:t>
      </w:r>
      <w:proofErr w:type="spellStart"/>
      <w:r>
        <w:t>recollida</w:t>
      </w:r>
      <w:proofErr w:type="spellEnd"/>
      <w:r>
        <w:t xml:space="preserve"> específica de </w:t>
      </w:r>
      <w:proofErr w:type="spellStart"/>
      <w:r>
        <w:t>resíduos</w:t>
      </w:r>
      <w:proofErr w:type="spellEnd"/>
      <w:r>
        <w:t xml:space="preserve"> para a </w:t>
      </w:r>
      <w:proofErr w:type="spellStart"/>
      <w:r>
        <w:t>actividade</w:t>
      </w:r>
      <w:proofErr w:type="spellEnd"/>
      <w:r>
        <w:t xml:space="preserve"> </w:t>
      </w:r>
      <w:r>
        <w:t xml:space="preserve">principal, únicamente pagarán </w:t>
      </w:r>
      <w:r>
        <w:t xml:space="preserve">o importe mínimo do epígrafe </w:t>
      </w:r>
      <w:proofErr w:type="spellStart"/>
      <w:r>
        <w:t>correspondente</w:t>
      </w:r>
      <w:proofErr w:type="spellEnd"/>
      <w:r>
        <w:t>.</w:t>
      </w:r>
    </w:p>
    <w:p w:rsidR="00504146" w:rsidRDefault="00504146" w:rsidP="00504146"/>
    <w:p w:rsidR="00B63118" w:rsidRDefault="00504146" w:rsidP="00504146">
      <w:r>
        <w:t>f)</w:t>
      </w:r>
      <w:r>
        <w:tab/>
        <w:t xml:space="preserve">Para as actividades dos epígrafes 2.4, 2.5 e 2.6 </w:t>
      </w:r>
      <w:proofErr w:type="spellStart"/>
      <w:r>
        <w:t>computarase</w:t>
      </w:r>
      <w:proofErr w:type="spellEnd"/>
      <w:r>
        <w:t xml:space="preserve"> a </w:t>
      </w:r>
      <w:proofErr w:type="spellStart"/>
      <w:r>
        <w:t>totalidade</w:t>
      </w:r>
      <w:proofErr w:type="spellEnd"/>
      <w:r>
        <w:t xml:space="preserve"> dos metros </w:t>
      </w:r>
      <w:proofErr w:type="spellStart"/>
      <w:r>
        <w:t>a</w:t>
      </w:r>
      <w:r>
        <w:t>dicados</w:t>
      </w:r>
      <w:proofErr w:type="spellEnd"/>
      <w:r>
        <w:t xml:space="preserve"> á </w:t>
      </w:r>
      <w:proofErr w:type="spellStart"/>
      <w:r>
        <w:t>actividade</w:t>
      </w:r>
      <w:proofErr w:type="spellEnd"/>
      <w:r>
        <w:t xml:space="preserve">, coa </w:t>
      </w:r>
      <w:r>
        <w:t>cota má</w:t>
      </w:r>
      <w:r>
        <w:t xml:space="preserve">xima </w:t>
      </w:r>
      <w:proofErr w:type="spellStart"/>
      <w:r>
        <w:t>sinalada</w:t>
      </w:r>
      <w:proofErr w:type="spellEnd"/>
      <w:r>
        <w:t xml:space="preserve"> para o epígrafe </w:t>
      </w:r>
      <w:proofErr w:type="spellStart"/>
      <w:r>
        <w:t>correspondente</w:t>
      </w:r>
      <w:proofErr w:type="spellEnd"/>
      <w:r>
        <w:t>.</w:t>
      </w:r>
    </w:p>
    <w:p w:rsidR="00B63118" w:rsidRDefault="00B63118" w:rsidP="00B63118"/>
    <w:p w:rsidR="00504146" w:rsidRPr="00B63118" w:rsidRDefault="00504146" w:rsidP="00B63118"/>
    <w:p w:rsidR="00DE67FA" w:rsidRPr="00DE67FA" w:rsidRDefault="00DE67FA" w:rsidP="00DE67FA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Artigo 6º. Devengo</w:t>
      </w:r>
    </w:p>
    <w:p w:rsidR="00DE67FA" w:rsidRDefault="00DE67FA" w:rsidP="00DE67FA"/>
    <w:p w:rsidR="00DE67FA" w:rsidRDefault="00DE67FA" w:rsidP="00DE67FA">
      <w:r>
        <w:t xml:space="preserve">1. </w:t>
      </w:r>
      <w:proofErr w:type="spellStart"/>
      <w:r>
        <w:t>Devengarase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e </w:t>
      </w:r>
      <w:proofErr w:type="spellStart"/>
      <w:r>
        <w:t>nacera</w:t>
      </w:r>
      <w:proofErr w:type="spellEnd"/>
      <w:r>
        <w:t xml:space="preserve">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 desde o momento en que se inicie a prestación do servicio, </w:t>
      </w:r>
      <w:proofErr w:type="spellStart"/>
      <w:r>
        <w:t>entendéndose</w:t>
      </w:r>
      <w:proofErr w:type="spellEnd"/>
      <w:r>
        <w:t xml:space="preserve"> iniciada, dada a </w:t>
      </w:r>
      <w:proofErr w:type="spellStart"/>
      <w:r>
        <w:t>natureza</w:t>
      </w:r>
      <w:proofErr w:type="spellEnd"/>
      <w:r>
        <w:t xml:space="preserve"> de recepción </w:t>
      </w:r>
      <w:proofErr w:type="spellStart"/>
      <w:r>
        <w:t>obrigatoria</w:t>
      </w:r>
      <w:proofErr w:type="spellEnd"/>
      <w:r>
        <w:t xml:space="preserve"> do </w:t>
      </w:r>
      <w:proofErr w:type="spellStart"/>
      <w:r>
        <w:t>mesmo</w:t>
      </w:r>
      <w:proofErr w:type="spellEnd"/>
      <w:r>
        <w:t xml:space="preserve">, cando esté establecido e en </w:t>
      </w:r>
      <w:proofErr w:type="spellStart"/>
      <w:r>
        <w:t>funcionamento</w:t>
      </w:r>
      <w:proofErr w:type="spellEnd"/>
      <w:r>
        <w:t xml:space="preserve"> o servicio municipal de </w:t>
      </w:r>
      <w:proofErr w:type="spellStart"/>
      <w:r>
        <w:t>recollida</w:t>
      </w:r>
      <w:proofErr w:type="spellEnd"/>
      <w:r>
        <w:t xml:space="preserve"> de residuos.</w:t>
      </w:r>
    </w:p>
    <w:p w:rsidR="00DE67FA" w:rsidRDefault="00DE67FA" w:rsidP="00DE67FA"/>
    <w:p w:rsidR="00DE67FA" w:rsidRDefault="00DE67FA" w:rsidP="00DE67FA">
      <w:r>
        <w:t xml:space="preserve">2. Establecido e en </w:t>
      </w:r>
      <w:proofErr w:type="spellStart"/>
      <w:r>
        <w:t>funcionamento</w:t>
      </w:r>
      <w:proofErr w:type="spellEnd"/>
      <w:r>
        <w:t xml:space="preserve"> o referido </w:t>
      </w:r>
      <w:proofErr w:type="spellStart"/>
      <w:r>
        <w:t>servizo</w:t>
      </w:r>
      <w:proofErr w:type="spellEnd"/>
      <w:r>
        <w:t xml:space="preserve">, as cotas </w:t>
      </w:r>
      <w:proofErr w:type="spellStart"/>
      <w:r>
        <w:t>devengaranse</w:t>
      </w:r>
      <w:proofErr w:type="spellEnd"/>
      <w:r>
        <w:t xml:space="preserve"> o </w:t>
      </w:r>
      <w:proofErr w:type="spellStart"/>
      <w:r>
        <w:t>primeiro</w:t>
      </w:r>
      <w:proofErr w:type="spellEnd"/>
      <w:r>
        <w:t xml:space="preserve"> día de cada ano natural, salvo que a alta </w:t>
      </w:r>
      <w:proofErr w:type="spellStart"/>
      <w:r>
        <w:t>ou</w:t>
      </w:r>
      <w:proofErr w:type="spellEnd"/>
      <w:r>
        <w:t xml:space="preserve"> </w:t>
      </w:r>
      <w:proofErr w:type="spellStart"/>
      <w:r>
        <w:t>baixa</w:t>
      </w:r>
      <w:proofErr w:type="spellEnd"/>
      <w:r>
        <w:t xml:space="preserve"> do </w:t>
      </w:r>
      <w:proofErr w:type="spellStart"/>
      <w:r>
        <w:t>servizo</w:t>
      </w:r>
      <w:proofErr w:type="spellEnd"/>
      <w:r>
        <w:t xml:space="preserve"> se </w:t>
      </w:r>
      <w:proofErr w:type="spellStart"/>
      <w:r>
        <w:t>producise</w:t>
      </w:r>
      <w:proofErr w:type="spellEnd"/>
      <w:r>
        <w:t xml:space="preserve"> con </w:t>
      </w:r>
      <w:proofErr w:type="spellStart"/>
      <w:r>
        <w:t>posterioridade</w:t>
      </w:r>
      <w:proofErr w:type="spellEnd"/>
      <w:r>
        <w:t xml:space="preserve"> á </w:t>
      </w:r>
      <w:proofErr w:type="spellStart"/>
      <w:r>
        <w:t>devandita</w:t>
      </w:r>
      <w:proofErr w:type="spellEnd"/>
      <w:r>
        <w:t xml:space="preserve"> data, en </w:t>
      </w:r>
      <w:proofErr w:type="spellStart"/>
      <w:r>
        <w:t>cuxo</w:t>
      </w:r>
      <w:proofErr w:type="spellEnd"/>
      <w:r>
        <w:t xml:space="preserve"> caso se prorrateará por trimestres </w:t>
      </w:r>
      <w:proofErr w:type="spellStart"/>
      <w:r>
        <w:t>naturais</w:t>
      </w:r>
      <w:proofErr w:type="spellEnd"/>
      <w:r>
        <w:t xml:space="preserve">. </w:t>
      </w:r>
      <w:r>
        <w:lastRenderedPageBreak/>
        <w:t xml:space="preserve">Non producirá o prorrateo nos cambios de </w:t>
      </w:r>
      <w:proofErr w:type="spellStart"/>
      <w:r>
        <w:t>titularidade</w:t>
      </w:r>
      <w:proofErr w:type="spellEnd"/>
      <w:r>
        <w:t xml:space="preserve">, </w:t>
      </w:r>
      <w:proofErr w:type="spellStart"/>
      <w:r>
        <w:t>unha</w:t>
      </w:r>
      <w:proofErr w:type="spellEnd"/>
      <w:r>
        <w:t xml:space="preserve"> vez transcurrido o devengo.</w:t>
      </w:r>
    </w:p>
    <w:p w:rsidR="00DE67FA" w:rsidRDefault="00DE67FA" w:rsidP="00DE67FA"/>
    <w:p w:rsidR="00DE67FA" w:rsidRDefault="00DE67FA" w:rsidP="00DE67FA"/>
    <w:p w:rsidR="00DE67FA" w:rsidRPr="00DE67FA" w:rsidRDefault="00DE67FA" w:rsidP="00DE67FA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7º. </w:t>
      </w:r>
      <w:proofErr w:type="spellStart"/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Xestión</w:t>
      </w:r>
      <w:proofErr w:type="spellEnd"/>
    </w:p>
    <w:p w:rsidR="00DE67FA" w:rsidRDefault="00DE67FA" w:rsidP="00DE67FA"/>
    <w:p w:rsidR="00DE67FA" w:rsidRDefault="00DE67FA" w:rsidP="00DE67FA">
      <w:r>
        <w:t xml:space="preserve">1. O </w:t>
      </w:r>
      <w:proofErr w:type="spellStart"/>
      <w:r>
        <w:t>cobramento</w:t>
      </w:r>
      <w:proofErr w:type="spellEnd"/>
      <w:r>
        <w:t xml:space="preserve"> das cotas </w:t>
      </w:r>
      <w:proofErr w:type="spellStart"/>
      <w:r>
        <w:t>efectuarase</w:t>
      </w:r>
      <w:proofErr w:type="spellEnd"/>
      <w:r>
        <w:t xml:space="preserve"> anualmente mediante recibo derivado do padrón, liquidación </w:t>
      </w:r>
      <w:proofErr w:type="spellStart"/>
      <w:r>
        <w:t>ou</w:t>
      </w:r>
      <w:proofErr w:type="spellEnd"/>
      <w:r>
        <w:t xml:space="preserve"> autoliquidación, nos casos que correspondan.</w:t>
      </w:r>
    </w:p>
    <w:p w:rsidR="00DE67FA" w:rsidRDefault="00DE67FA" w:rsidP="00DE67FA"/>
    <w:p w:rsidR="00DE67FA" w:rsidRDefault="00DE67FA" w:rsidP="00DE67FA">
      <w:r>
        <w:t xml:space="preserve">2.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artigo 102 da </w:t>
      </w:r>
      <w:proofErr w:type="spellStart"/>
      <w:r>
        <w:t>Lei</w:t>
      </w:r>
      <w:proofErr w:type="spellEnd"/>
      <w:r>
        <w:t xml:space="preserve"> 58/2003, </w:t>
      </w:r>
      <w:proofErr w:type="spellStart"/>
      <w:r>
        <w:t>Xeneral</w:t>
      </w:r>
      <w:proofErr w:type="spellEnd"/>
      <w:r>
        <w:t xml:space="preserve"> Tributaria, cando se presente </w:t>
      </w:r>
      <w:proofErr w:type="spellStart"/>
      <w:r>
        <w:t>unha</w:t>
      </w:r>
      <w:proofErr w:type="spellEnd"/>
      <w:r>
        <w:t xml:space="preserve"> alta </w:t>
      </w:r>
      <w:proofErr w:type="spellStart"/>
      <w:r>
        <w:t>ou</w:t>
      </w:r>
      <w:proofErr w:type="spellEnd"/>
      <w:r>
        <w:t xml:space="preserve"> se comunique a incorporación no padrón </w:t>
      </w:r>
      <w:proofErr w:type="spellStart"/>
      <w:r>
        <w:t>correspondente</w:t>
      </w:r>
      <w:proofErr w:type="spellEnd"/>
      <w:r>
        <w:t xml:space="preserve">, non será necesaria a notificación de </w:t>
      </w:r>
      <w:proofErr w:type="spellStart"/>
      <w:r>
        <w:t>liquidacións</w:t>
      </w:r>
      <w:proofErr w:type="spellEnd"/>
      <w:r>
        <w:t xml:space="preserve"> posteriores e </w:t>
      </w:r>
      <w:proofErr w:type="spellStart"/>
      <w:r>
        <w:t>incorporaranse</w:t>
      </w:r>
      <w:proofErr w:type="spellEnd"/>
      <w:r>
        <w:t xml:space="preserve"> directamente os datos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padróns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>.</w:t>
      </w:r>
    </w:p>
    <w:p w:rsidR="00DE67FA" w:rsidRDefault="00DE67FA" w:rsidP="00DE67FA"/>
    <w:p w:rsidR="00DE67FA" w:rsidRDefault="00DE67FA" w:rsidP="00DE67FA">
      <w:r>
        <w:t xml:space="preserve">3. Os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veñen</w:t>
      </w:r>
      <w:proofErr w:type="spellEnd"/>
      <w:r>
        <w:t xml:space="preserve"> </w:t>
      </w:r>
      <w:proofErr w:type="spellStart"/>
      <w:r>
        <w:t>obrigados</w:t>
      </w:r>
      <w:proofErr w:type="spellEnd"/>
      <w:r>
        <w:t xml:space="preserve"> a formalizar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inscrición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variación de datos do padrón do tributo no </w:t>
      </w:r>
      <w:proofErr w:type="spellStart"/>
      <w:r>
        <w:t>prazo</w:t>
      </w:r>
      <w:proofErr w:type="spellEnd"/>
      <w:r>
        <w:t xml:space="preserve"> máximo de tres meses, presentando </w:t>
      </w:r>
      <w:proofErr w:type="spellStart"/>
      <w:r>
        <w:t>ao</w:t>
      </w:r>
      <w:proofErr w:type="spellEnd"/>
      <w:r>
        <w:t xml:space="preserve"> efecto a </w:t>
      </w:r>
      <w:proofErr w:type="spellStart"/>
      <w:r>
        <w:t>correspondente</w:t>
      </w:r>
      <w:proofErr w:type="spellEnd"/>
      <w:r>
        <w:t xml:space="preserve"> declaración de alta </w:t>
      </w:r>
      <w:proofErr w:type="spellStart"/>
      <w:r>
        <w:t>ou</w:t>
      </w:r>
      <w:proofErr w:type="spellEnd"/>
      <w:r>
        <w:t xml:space="preserve"> variación de datos,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documentos </w:t>
      </w:r>
      <w:proofErr w:type="spellStart"/>
      <w:r>
        <w:t>xustificativos</w:t>
      </w:r>
      <w:proofErr w:type="spellEnd"/>
      <w:r>
        <w:t xml:space="preserve">, e ingresando, se procede, </w:t>
      </w:r>
      <w:proofErr w:type="spellStart"/>
      <w:r>
        <w:t>simultaneamente</w:t>
      </w:r>
      <w:proofErr w:type="spellEnd"/>
      <w:r>
        <w:t>, mediante autoliquidación, a cota que corresponda.</w:t>
      </w:r>
    </w:p>
    <w:p w:rsidR="00DE67FA" w:rsidRDefault="00DE67FA" w:rsidP="00DE67FA"/>
    <w:p w:rsidR="00DE67FA" w:rsidRDefault="00DE67FA" w:rsidP="00DE67FA">
      <w:r>
        <w:t xml:space="preserve">4. A Administración </w:t>
      </w:r>
      <w:proofErr w:type="spellStart"/>
      <w:r>
        <w:t>poderá</w:t>
      </w:r>
      <w:proofErr w:type="spellEnd"/>
      <w:r>
        <w:t xml:space="preserve"> comprobar a </w:t>
      </w:r>
      <w:proofErr w:type="spellStart"/>
      <w:r>
        <w:t>realidade</w:t>
      </w:r>
      <w:proofErr w:type="spellEnd"/>
      <w:r>
        <w:t xml:space="preserve"> dos datos </w:t>
      </w:r>
      <w:proofErr w:type="spellStart"/>
      <w:r>
        <w:t>achegados</w:t>
      </w:r>
      <w:proofErr w:type="spellEnd"/>
      <w:r>
        <w:t xml:space="preserve"> polo interesado así como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que </w:t>
      </w:r>
      <w:proofErr w:type="spellStart"/>
      <w:r>
        <w:t>haxan</w:t>
      </w:r>
      <w:proofErr w:type="spellEnd"/>
      <w:r>
        <w:t xml:space="preserve"> de servir de base para o cálculo da cota </w:t>
      </w:r>
      <w:proofErr w:type="spellStart"/>
      <w:r>
        <w:t>correspondente</w:t>
      </w:r>
      <w:proofErr w:type="spellEnd"/>
      <w:r>
        <w:t xml:space="preserve"> e practicará, se fose procedente, a liquidación oportuna.</w:t>
      </w:r>
    </w:p>
    <w:p w:rsidR="00DE67FA" w:rsidRDefault="00DE67FA" w:rsidP="00DE67FA"/>
    <w:p w:rsidR="00DE67FA" w:rsidRDefault="00DE67FA" w:rsidP="00DE67FA">
      <w:r>
        <w:t xml:space="preserve">5. Cando se </w:t>
      </w:r>
      <w:proofErr w:type="spellStart"/>
      <w:r>
        <w:t>coñeza</w:t>
      </w:r>
      <w:proofErr w:type="spellEnd"/>
      <w:r>
        <w:t xml:space="preserve">, de oficio </w:t>
      </w:r>
      <w:proofErr w:type="spellStart"/>
      <w:r>
        <w:t>ou</w:t>
      </w:r>
      <w:proofErr w:type="spellEnd"/>
      <w:r>
        <w:t xml:space="preserve"> por comunicación dos interesados, </w:t>
      </w:r>
      <w:proofErr w:type="spellStart"/>
      <w:r>
        <w:t>calquier</w:t>
      </w:r>
      <w:proofErr w:type="spellEnd"/>
      <w:r>
        <w:t xml:space="preserve"> variación dos datos figurados no padrón do tributo, </w:t>
      </w:r>
      <w:proofErr w:type="spellStart"/>
      <w:r>
        <w:t>levaránse</w:t>
      </w:r>
      <w:proofErr w:type="spellEnd"/>
      <w:r>
        <w:t xml:space="preserve"> a cabo as </w:t>
      </w:r>
      <w:proofErr w:type="spellStart"/>
      <w:r>
        <w:t>modificacions</w:t>
      </w:r>
      <w:proofErr w:type="spellEnd"/>
      <w:r>
        <w:t xml:space="preserve"> correspondientes. As </w:t>
      </w:r>
      <w:proofErr w:type="spellStart"/>
      <w:r>
        <w:t>alteracións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variacións</w:t>
      </w:r>
      <w:proofErr w:type="spellEnd"/>
      <w:r>
        <w:t xml:space="preserve"> que </w:t>
      </w:r>
      <w:proofErr w:type="spellStart"/>
      <w:r>
        <w:t>supoñan</w:t>
      </w:r>
      <w:proofErr w:type="spellEnd"/>
      <w:r>
        <w:t xml:space="preserve"> cambio de tarifa, </w:t>
      </w:r>
      <w:proofErr w:type="spellStart"/>
      <w:r>
        <w:t>terán</w:t>
      </w:r>
      <w:proofErr w:type="spellEnd"/>
      <w:r>
        <w:t xml:space="preserve"> efectos no trimestre natural no que se </w:t>
      </w:r>
      <w:proofErr w:type="spellStart"/>
      <w:r>
        <w:t>produzan</w:t>
      </w:r>
      <w:proofErr w:type="spellEnd"/>
      <w:r>
        <w:t>.</w:t>
      </w:r>
    </w:p>
    <w:p w:rsidR="00DE67FA" w:rsidRDefault="00DE67FA" w:rsidP="00DE67FA"/>
    <w:p w:rsidR="00DE67FA" w:rsidRDefault="00DE67FA" w:rsidP="00DE67FA"/>
    <w:p w:rsidR="00DE67FA" w:rsidRPr="00DE67FA" w:rsidRDefault="00DE67FA" w:rsidP="00DE67FA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FINAL</w:t>
      </w:r>
    </w:p>
    <w:p w:rsidR="00DE67FA" w:rsidRDefault="00DE67FA" w:rsidP="00DE67FA"/>
    <w:p w:rsidR="001404B6" w:rsidRDefault="00504146" w:rsidP="00504146">
      <w:r w:rsidRPr="00504146">
        <w:t xml:space="preserve">A presente Ordenanza Fiscal entrará en vigor o día da </w:t>
      </w:r>
      <w:proofErr w:type="spellStart"/>
      <w:r w:rsidRPr="00504146">
        <w:t>súa</w:t>
      </w:r>
      <w:proofErr w:type="spellEnd"/>
      <w:r w:rsidRPr="00504146">
        <w:t xml:space="preserve"> publicación no Boletín Oficial </w:t>
      </w:r>
      <w:r>
        <w:t>da Provincia, e será de aplica</w:t>
      </w:r>
      <w:bookmarkStart w:id="0" w:name="_GoBack"/>
      <w:bookmarkEnd w:id="0"/>
      <w:r w:rsidRPr="00504146">
        <w:t xml:space="preserve">ción a partir do día 1 de </w:t>
      </w:r>
      <w:proofErr w:type="spellStart"/>
      <w:r w:rsidRPr="00504146">
        <w:t>xaneiro</w:t>
      </w:r>
      <w:proofErr w:type="spellEnd"/>
      <w:r w:rsidRPr="00504146">
        <w:t xml:space="preserve"> de 2017, </w:t>
      </w:r>
      <w:proofErr w:type="spellStart"/>
      <w:r w:rsidRPr="00504146">
        <w:t>permanecendo</w:t>
      </w:r>
      <w:proofErr w:type="spellEnd"/>
      <w:r w:rsidRPr="00504146">
        <w:t xml:space="preserve"> en vigor ata a </w:t>
      </w:r>
      <w:proofErr w:type="spellStart"/>
      <w:r w:rsidRPr="00504146">
        <w:t>súa</w:t>
      </w:r>
      <w:proofErr w:type="spellEnd"/>
      <w:r w:rsidRPr="00504146">
        <w:t xml:space="preserve"> modificación </w:t>
      </w:r>
      <w:proofErr w:type="spellStart"/>
      <w:r w:rsidRPr="00504146">
        <w:t>ou</w:t>
      </w:r>
      <w:proofErr w:type="spellEnd"/>
      <w:r w:rsidRPr="00504146">
        <w:t xml:space="preserve"> </w:t>
      </w:r>
      <w:proofErr w:type="spellStart"/>
      <w:r w:rsidRPr="00504146">
        <w:t>derrogación</w:t>
      </w:r>
      <w:proofErr w:type="spellEnd"/>
      <w:r w:rsidRPr="00504146">
        <w:t xml:space="preserve"> expresas.</w:t>
      </w:r>
    </w:p>
    <w:sectPr w:rsidR="001404B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2" w:rsidRDefault="00E82C12" w:rsidP="00DE67FA">
      <w:r>
        <w:separator/>
      </w:r>
    </w:p>
  </w:endnote>
  <w:endnote w:type="continuationSeparator" w:id="0">
    <w:p w:rsidR="00E82C12" w:rsidRDefault="00E82C12" w:rsidP="00DE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21796"/>
      <w:docPartObj>
        <w:docPartGallery w:val="Page Numbers (Bottom of Page)"/>
        <w:docPartUnique/>
      </w:docPartObj>
    </w:sdtPr>
    <w:sdtEndPr/>
    <w:sdtContent>
      <w:p w:rsidR="00DE67FA" w:rsidRDefault="00DE67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46">
          <w:rPr>
            <w:noProof/>
          </w:rPr>
          <w:t>1</w:t>
        </w:r>
        <w:r>
          <w:fldChar w:fldCharType="end"/>
        </w:r>
      </w:p>
    </w:sdtContent>
  </w:sdt>
  <w:p w:rsidR="00DE67FA" w:rsidRDefault="00DE67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2" w:rsidRDefault="00E82C12" w:rsidP="00DE67FA">
      <w:r>
        <w:separator/>
      </w:r>
    </w:p>
  </w:footnote>
  <w:footnote w:type="continuationSeparator" w:id="0">
    <w:p w:rsidR="00E82C12" w:rsidRDefault="00E82C12" w:rsidP="00DE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C49"/>
    <w:multiLevelType w:val="hybridMultilevel"/>
    <w:tmpl w:val="AB4E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FA"/>
    <w:rsid w:val="001404B6"/>
    <w:rsid w:val="003C3AEE"/>
    <w:rsid w:val="00504146"/>
    <w:rsid w:val="007F1848"/>
    <w:rsid w:val="00A30A35"/>
    <w:rsid w:val="00B63118"/>
    <w:rsid w:val="00DE67FA"/>
    <w:rsid w:val="00E82C12"/>
    <w:rsid w:val="00EE4E9F"/>
    <w:rsid w:val="00F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6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7FA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E67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7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6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7FA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E67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7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1343</Words>
  <Characters>7335</Characters>
  <Application>Microsoft Office Word</Application>
  <DocSecurity>0</DocSecurity>
  <Lines>193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2016-04-15T15:53:00Z</dcterms:created>
  <dcterms:modified xsi:type="dcterms:W3CDTF">2017-02-16T10:09:00Z</dcterms:modified>
</cp:coreProperties>
</file>