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0" w:rsidRDefault="00EE10B0">
      <w:pPr>
        <w:pStyle w:val="Textoindependiente"/>
        <w:spacing w:before="6"/>
        <w:rPr>
          <w:b/>
          <w:sz w:val="23"/>
        </w:rPr>
      </w:pPr>
    </w:p>
    <w:p w:rsidR="00D92628" w:rsidRDefault="00D92628" w:rsidP="00D92628">
      <w:pPr>
        <w:ind w:left="455"/>
        <w:rPr>
          <w:rFonts w:asciiTheme="minorHAnsi" w:hAnsiTheme="minorHAnsi"/>
          <w:i/>
          <w:color w:val="242121"/>
          <w:w w:val="105"/>
        </w:rPr>
      </w:pPr>
    </w:p>
    <w:p w:rsidR="00D92628" w:rsidRDefault="00D92628" w:rsidP="00D92628">
      <w:pPr>
        <w:ind w:left="455"/>
        <w:rPr>
          <w:rFonts w:asciiTheme="minorHAnsi" w:hAnsiTheme="minorHAnsi"/>
          <w:i/>
          <w:color w:val="242121"/>
          <w:w w:val="105"/>
        </w:rPr>
      </w:pPr>
    </w:p>
    <w:p w:rsidR="00A5501A" w:rsidRDefault="00A5501A" w:rsidP="00A5501A">
      <w:pPr>
        <w:ind w:left="567"/>
        <w:rPr>
          <w:rFonts w:asciiTheme="minorHAnsi" w:hAnsiTheme="minorHAnsi"/>
          <w:i/>
          <w:color w:val="242121"/>
          <w:w w:val="105"/>
        </w:rPr>
      </w:pPr>
    </w:p>
    <w:p w:rsidR="00A5501A" w:rsidRDefault="00A5501A" w:rsidP="00A5501A">
      <w:pPr>
        <w:ind w:left="567"/>
        <w:rPr>
          <w:rFonts w:asciiTheme="minorHAnsi" w:hAnsiTheme="minorHAnsi"/>
          <w:i/>
          <w:color w:val="242121"/>
          <w:w w:val="105"/>
        </w:rPr>
      </w:pPr>
    </w:p>
    <w:p w:rsidR="00EE10B0" w:rsidRPr="00D92628" w:rsidRDefault="00D92628" w:rsidP="00A5501A">
      <w:pPr>
        <w:ind w:left="567"/>
        <w:rPr>
          <w:rFonts w:asciiTheme="minorHAnsi" w:hAnsiTheme="minorHAnsi"/>
          <w:i/>
        </w:rPr>
      </w:pPr>
      <w:proofErr w:type="spellStart"/>
      <w:r w:rsidRPr="00D92628">
        <w:rPr>
          <w:rFonts w:asciiTheme="minorHAnsi" w:hAnsiTheme="minorHAnsi"/>
          <w:i/>
          <w:color w:val="242121"/>
          <w:w w:val="105"/>
        </w:rPr>
        <w:t>Aprobación</w:t>
      </w:r>
      <w:proofErr w:type="spellEnd"/>
      <w:r w:rsidRPr="00D92628">
        <w:rPr>
          <w:rFonts w:asciiTheme="minorHAnsi" w:hAnsiTheme="minorHAnsi"/>
          <w:i/>
          <w:color w:val="242121"/>
          <w:w w:val="105"/>
        </w:rPr>
        <w:t xml:space="preserve"> do </w:t>
      </w:r>
      <w:proofErr w:type="spellStart"/>
      <w:r w:rsidRPr="00D92628">
        <w:rPr>
          <w:rFonts w:asciiTheme="minorHAnsi" w:hAnsiTheme="minorHAnsi"/>
          <w:i/>
          <w:color w:val="242121"/>
          <w:w w:val="105"/>
        </w:rPr>
        <w:t>inventario</w:t>
      </w:r>
      <w:proofErr w:type="spellEnd"/>
      <w:r w:rsidRPr="00D92628">
        <w:rPr>
          <w:rFonts w:asciiTheme="minorHAnsi" w:hAnsiTheme="minorHAnsi"/>
          <w:i/>
          <w:color w:val="242121"/>
          <w:w w:val="105"/>
        </w:rPr>
        <w:t xml:space="preserve"> de bens </w:t>
      </w:r>
      <w:r w:rsidRPr="00D92628">
        <w:rPr>
          <w:rFonts w:asciiTheme="minorHAnsi" w:hAnsiTheme="minorHAnsi"/>
          <w:color w:val="242121"/>
          <w:w w:val="105"/>
        </w:rPr>
        <w:t xml:space="preserve">e </w:t>
      </w:r>
      <w:proofErr w:type="spellStart"/>
      <w:r w:rsidR="00A5501A">
        <w:rPr>
          <w:rFonts w:asciiTheme="minorHAnsi" w:hAnsiTheme="minorHAnsi"/>
          <w:i/>
          <w:color w:val="242121"/>
          <w:w w:val="105"/>
        </w:rPr>
        <w:t>dereitos</w:t>
      </w:r>
      <w:proofErr w:type="spellEnd"/>
      <w:r w:rsidR="00A5501A">
        <w:rPr>
          <w:rFonts w:asciiTheme="minorHAnsi" w:hAnsiTheme="minorHAnsi"/>
          <w:i/>
          <w:color w:val="242121"/>
          <w:w w:val="105"/>
        </w:rPr>
        <w:t xml:space="preserve"> do Concel</w:t>
      </w:r>
      <w:bookmarkStart w:id="0" w:name="_GoBack"/>
      <w:bookmarkEnd w:id="0"/>
      <w:r w:rsidRPr="00D92628">
        <w:rPr>
          <w:rFonts w:asciiTheme="minorHAnsi" w:hAnsiTheme="minorHAnsi"/>
          <w:i/>
          <w:color w:val="242121"/>
          <w:w w:val="105"/>
        </w:rPr>
        <w:t xml:space="preserve">lo </w:t>
      </w:r>
      <w:proofErr w:type="gramStart"/>
      <w:r w:rsidRPr="00D92628">
        <w:rPr>
          <w:rFonts w:asciiTheme="minorHAnsi" w:hAnsiTheme="minorHAnsi"/>
          <w:i/>
          <w:color w:val="242121"/>
          <w:w w:val="105"/>
        </w:rPr>
        <w:t xml:space="preserve">de  </w:t>
      </w:r>
      <w:proofErr w:type="spellStart"/>
      <w:r w:rsidRPr="00D92628">
        <w:rPr>
          <w:rFonts w:asciiTheme="minorHAnsi" w:hAnsiTheme="minorHAnsi"/>
          <w:i/>
          <w:color w:val="242121"/>
          <w:w w:val="105"/>
        </w:rPr>
        <w:t>Cedeira</w:t>
      </w:r>
      <w:proofErr w:type="spellEnd"/>
      <w:proofErr w:type="gramEnd"/>
    </w:p>
    <w:p w:rsidR="00A5501A" w:rsidRPr="00A5501A" w:rsidRDefault="00A5501A" w:rsidP="00D92628">
      <w:pPr>
        <w:pStyle w:val="Textoindependiente"/>
        <w:ind w:left="128" w:right="117" w:firstLine="340"/>
        <w:jc w:val="both"/>
        <w:rPr>
          <w:rFonts w:asciiTheme="minorHAnsi" w:hAnsiTheme="minorHAnsi"/>
          <w:color w:val="242121"/>
          <w:w w:val="95"/>
          <w:sz w:val="22"/>
          <w:szCs w:val="22"/>
        </w:rPr>
      </w:pPr>
    </w:p>
    <w:p w:rsidR="00EE10B0" w:rsidRPr="00A5501A" w:rsidRDefault="00D92628" w:rsidP="00A5501A">
      <w:pPr>
        <w:pStyle w:val="Textoindependiente"/>
        <w:ind w:left="567" w:right="692"/>
        <w:jc w:val="both"/>
        <w:rPr>
          <w:rFonts w:asciiTheme="minorHAnsi" w:hAnsiTheme="minorHAnsi"/>
          <w:color w:val="242121"/>
          <w:w w:val="105"/>
          <w:sz w:val="22"/>
          <w:szCs w:val="22"/>
        </w:rPr>
      </w:pPr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Con data 10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novembro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2009,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Pleno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corporación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,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por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maioría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absoluta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dos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seus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membros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,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dacordo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cos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artigos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86 do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Texto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Refundido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das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Disposicións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Vixentes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materia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Réxime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Local (R.D.L. 781/1986, do 18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abril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) e 17 do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Regulamento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Bens das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Entidades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Locais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(R.D. 1372/1986, do 13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xuño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)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aprobou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inventario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todos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bens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dereitos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Corporación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,</w:t>
      </w:r>
      <w:r w:rsidRPr="00A5501A">
        <w:rPr>
          <w:rFonts w:ascii="Calibri" w:hAnsi="Calibri"/>
          <w:color w:val="242121"/>
          <w:w w:val="9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adoptando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seguinte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acordo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:</w:t>
      </w:r>
    </w:p>
    <w:p w:rsidR="00D92628" w:rsidRPr="00A5501A" w:rsidRDefault="00D92628" w:rsidP="00A5501A">
      <w:pPr>
        <w:pStyle w:val="Textoindependiente"/>
        <w:ind w:left="567" w:right="692"/>
        <w:jc w:val="both"/>
        <w:rPr>
          <w:rFonts w:ascii="Calibri" w:hAnsi="Calibri"/>
          <w:color w:val="242121"/>
          <w:spacing w:val="-48"/>
          <w:w w:val="164"/>
          <w:sz w:val="22"/>
          <w:szCs w:val="22"/>
        </w:rPr>
      </w:pPr>
    </w:p>
    <w:p w:rsidR="00EE10B0" w:rsidRPr="00A5501A" w:rsidRDefault="00D92628" w:rsidP="00A5501A">
      <w:pPr>
        <w:pStyle w:val="Textoindependiente"/>
        <w:ind w:left="567" w:right="692"/>
        <w:jc w:val="both"/>
        <w:rPr>
          <w:rFonts w:asciiTheme="minorHAnsi" w:hAnsiTheme="minorHAnsi"/>
          <w:color w:val="242121"/>
          <w:w w:val="105"/>
          <w:sz w:val="22"/>
          <w:szCs w:val="22"/>
        </w:rPr>
      </w:pPr>
      <w:proofErr w:type="gram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PRIMEIRO.</w:t>
      </w:r>
      <w:proofErr w:type="gram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Aprobar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formación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Inventario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Xeral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Bens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Dereitos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Corporación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a data 31de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decembro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2008,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datos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pormenorizados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da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cal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cada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ben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dereito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son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recollidos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no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expediente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,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sendo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seu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resumo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por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epígrafes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seguinte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:</w:t>
      </w:r>
    </w:p>
    <w:p w:rsidR="00EE10B0" w:rsidRPr="00D92628" w:rsidRDefault="00EE10B0" w:rsidP="00D9262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-512" w:type="dxa"/>
        <w:tblBorders>
          <w:top w:val="single" w:sz="5" w:space="0" w:color="1F1C1F"/>
          <w:left w:val="single" w:sz="5" w:space="0" w:color="1F1C1F"/>
          <w:bottom w:val="single" w:sz="5" w:space="0" w:color="1F1C1F"/>
          <w:right w:val="single" w:sz="5" w:space="0" w:color="1F1C1F"/>
          <w:insideH w:val="single" w:sz="5" w:space="0" w:color="1F1C1F"/>
          <w:insideV w:val="single" w:sz="5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5846"/>
        <w:gridCol w:w="1565"/>
        <w:gridCol w:w="1737"/>
      </w:tblGrid>
      <w:tr w:rsidR="00EE10B0" w:rsidRPr="00D92628" w:rsidTr="00D92628">
        <w:trPr>
          <w:trHeight w:hRule="exact" w:val="339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1386" w:right="1380"/>
              <w:jc w:val="center"/>
              <w:rPr>
                <w:rFonts w:asciiTheme="minorHAnsi" w:hAnsiTheme="minorHAnsi"/>
              </w:rPr>
            </w:pPr>
            <w:proofErr w:type="spellStart"/>
            <w:r w:rsidRPr="00D92628">
              <w:rPr>
                <w:rFonts w:asciiTheme="minorHAnsi" w:hAnsiTheme="minorHAnsi"/>
                <w:color w:val="242121"/>
              </w:rPr>
              <w:t>Epígrafe</w:t>
            </w:r>
            <w:proofErr w:type="spellEnd"/>
          </w:p>
        </w:tc>
        <w:tc>
          <w:tcPr>
            <w:tcW w:w="1565" w:type="dxa"/>
          </w:tcPr>
          <w:p w:rsidR="00EE10B0" w:rsidRPr="00D92628" w:rsidRDefault="00D92628" w:rsidP="00D92628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D92628">
              <w:rPr>
                <w:rFonts w:asciiTheme="minorHAnsi" w:hAnsiTheme="minorHAnsi"/>
                <w:color w:val="242121"/>
                <w:w w:val="95"/>
              </w:rPr>
              <w:t xml:space="preserve">Valor </w:t>
            </w:r>
            <w:proofErr w:type="spellStart"/>
            <w:r w:rsidRPr="00D92628">
              <w:rPr>
                <w:rFonts w:asciiTheme="minorHAnsi" w:hAnsiTheme="minorHAnsi"/>
                <w:color w:val="242121"/>
                <w:w w:val="95"/>
              </w:rPr>
              <w:t>Adq</w:t>
            </w:r>
            <w:proofErr w:type="spellEnd"/>
          </w:p>
        </w:tc>
        <w:tc>
          <w:tcPr>
            <w:tcW w:w="1737" w:type="dxa"/>
          </w:tcPr>
          <w:p w:rsidR="00EE10B0" w:rsidRPr="00D92628" w:rsidRDefault="00D92628" w:rsidP="00D92628">
            <w:pPr>
              <w:pStyle w:val="TableParagraph"/>
              <w:spacing w:before="0"/>
              <w:ind w:left="249"/>
              <w:rPr>
                <w:rFonts w:asciiTheme="minorHAnsi" w:hAnsiTheme="minorHAnsi"/>
              </w:rPr>
            </w:pPr>
            <w:r w:rsidRPr="00D92628">
              <w:rPr>
                <w:rFonts w:asciiTheme="minorHAnsi" w:hAnsiTheme="minorHAnsi"/>
                <w:color w:val="242121"/>
              </w:rPr>
              <w:t xml:space="preserve">Valor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Neto</w:t>
            </w:r>
            <w:proofErr w:type="spellEnd"/>
          </w:p>
        </w:tc>
      </w:tr>
      <w:tr w:rsidR="00EE10B0" w:rsidRPr="00D92628" w:rsidTr="00D92628">
        <w:trPr>
          <w:trHeight w:hRule="exact" w:val="271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</w:rPr>
            </w:pPr>
            <w:r w:rsidRPr="00D92628">
              <w:rPr>
                <w:rFonts w:asciiTheme="minorHAnsi" w:hAnsiTheme="minorHAnsi"/>
                <w:color w:val="242121"/>
              </w:rPr>
              <w:t>1</w:t>
            </w:r>
            <w:r w:rsidRPr="00D92628">
              <w:rPr>
                <w:rFonts w:asciiTheme="minorHAnsi" w:hAnsiTheme="minorHAnsi"/>
                <w:color w:val="4B4849"/>
              </w:rPr>
              <w:t>°</w:t>
            </w:r>
            <w:r w:rsidRPr="00D92628">
              <w:rPr>
                <w:rFonts w:asciiTheme="minorHAnsi" w:hAnsiTheme="minorHAnsi"/>
                <w:color w:val="242121"/>
              </w:rPr>
              <w:t>Inmuebles</w:t>
            </w:r>
          </w:p>
        </w:tc>
        <w:tc>
          <w:tcPr>
            <w:tcW w:w="1565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21.319.143,96</w:t>
            </w:r>
          </w:p>
        </w:tc>
        <w:tc>
          <w:tcPr>
            <w:tcW w:w="1737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19.107.004,85</w:t>
            </w:r>
          </w:p>
        </w:tc>
      </w:tr>
      <w:tr w:rsidR="00EE10B0" w:rsidRPr="00D92628" w:rsidTr="00D92628">
        <w:trPr>
          <w:trHeight w:hRule="exact" w:val="289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 xml:space="preserve">2°Dereitos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Reais</w:t>
            </w:r>
            <w:proofErr w:type="spellEnd"/>
          </w:p>
        </w:tc>
        <w:tc>
          <w:tcPr>
            <w:tcW w:w="1565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  <w:tc>
          <w:tcPr>
            <w:tcW w:w="1737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</w:tr>
      <w:tr w:rsidR="00EE10B0" w:rsidRPr="00D92628" w:rsidTr="00D92628">
        <w:trPr>
          <w:trHeight w:hRule="exact" w:val="279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 xml:space="preserve">3ºMobles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Hco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>.-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Artísticos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 e de considerable valor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económico</w:t>
            </w:r>
            <w:proofErr w:type="spellEnd"/>
          </w:p>
        </w:tc>
        <w:tc>
          <w:tcPr>
            <w:tcW w:w="1565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  <w:tc>
          <w:tcPr>
            <w:tcW w:w="1737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</w:tr>
      <w:tr w:rsidR="00EE10B0" w:rsidRPr="00D92628" w:rsidTr="00D92628">
        <w:trPr>
          <w:trHeight w:hRule="exact" w:val="269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 xml:space="preserve">4ºValores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Mobiliarios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,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Créditos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 e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Dereitos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 de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carácter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persoal</w:t>
            </w:r>
            <w:proofErr w:type="spellEnd"/>
          </w:p>
        </w:tc>
        <w:tc>
          <w:tcPr>
            <w:tcW w:w="1565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  <w:tc>
          <w:tcPr>
            <w:tcW w:w="1737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</w:tr>
      <w:tr w:rsidR="00EE10B0" w:rsidRPr="00D92628" w:rsidTr="00D92628">
        <w:trPr>
          <w:trHeight w:hRule="exact" w:val="300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5ºVehículos</w:t>
            </w:r>
          </w:p>
        </w:tc>
        <w:tc>
          <w:tcPr>
            <w:tcW w:w="1565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179.998,32</w:t>
            </w:r>
          </w:p>
        </w:tc>
        <w:tc>
          <w:tcPr>
            <w:tcW w:w="1737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33.445,87</w:t>
            </w:r>
          </w:p>
        </w:tc>
      </w:tr>
      <w:tr w:rsidR="00EE10B0" w:rsidRPr="00D92628" w:rsidTr="00D92628">
        <w:trPr>
          <w:trHeight w:hRule="exact" w:val="277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6°Semovientes</w:t>
            </w:r>
          </w:p>
        </w:tc>
        <w:tc>
          <w:tcPr>
            <w:tcW w:w="1565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  <w:tc>
          <w:tcPr>
            <w:tcW w:w="1737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</w:tr>
      <w:tr w:rsidR="00EE10B0" w:rsidRPr="00D92628" w:rsidTr="00D92628">
        <w:trPr>
          <w:trHeight w:hRule="exact" w:val="280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7°Muebles</w:t>
            </w:r>
          </w:p>
        </w:tc>
        <w:tc>
          <w:tcPr>
            <w:tcW w:w="1565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972.113,27</w:t>
            </w:r>
          </w:p>
        </w:tc>
        <w:tc>
          <w:tcPr>
            <w:tcW w:w="1737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215.218,63</w:t>
            </w:r>
          </w:p>
        </w:tc>
      </w:tr>
      <w:tr w:rsidR="00EE10B0" w:rsidRPr="00D92628" w:rsidTr="00D92628">
        <w:trPr>
          <w:trHeight w:hRule="exact" w:val="285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 xml:space="preserve">8ºBens e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Dereitos</w:t>
            </w:r>
            <w:proofErr w:type="spellEnd"/>
            <w:r w:rsidRPr="00D92628">
              <w:rPr>
                <w:rFonts w:asciiTheme="minorHAnsi" w:hAnsiTheme="minorHAnsi"/>
                <w:color w:val="242121"/>
              </w:rPr>
              <w:t xml:space="preserve"> </w:t>
            </w:r>
            <w:proofErr w:type="spellStart"/>
            <w:r w:rsidRPr="00D92628">
              <w:rPr>
                <w:rFonts w:asciiTheme="minorHAnsi" w:hAnsiTheme="minorHAnsi"/>
                <w:color w:val="242121"/>
              </w:rPr>
              <w:t>revertibles</w:t>
            </w:r>
            <w:proofErr w:type="spellEnd"/>
          </w:p>
        </w:tc>
        <w:tc>
          <w:tcPr>
            <w:tcW w:w="1565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  <w:tc>
          <w:tcPr>
            <w:tcW w:w="1737" w:type="dxa"/>
          </w:tcPr>
          <w:p w:rsidR="00EE10B0" w:rsidRPr="00D92628" w:rsidRDefault="00EE10B0" w:rsidP="00D92628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242121"/>
              </w:rPr>
            </w:pPr>
          </w:p>
        </w:tc>
      </w:tr>
      <w:tr w:rsidR="00EE10B0" w:rsidRPr="00D92628" w:rsidTr="00D92628">
        <w:trPr>
          <w:trHeight w:hRule="exact" w:val="305"/>
          <w:jc w:val="center"/>
        </w:trPr>
        <w:tc>
          <w:tcPr>
            <w:tcW w:w="5846" w:type="dxa"/>
          </w:tcPr>
          <w:p w:rsidR="00EE10B0" w:rsidRPr="00D92628" w:rsidRDefault="00D92628" w:rsidP="00D92628">
            <w:pPr>
              <w:pStyle w:val="TableParagraph"/>
              <w:spacing w:before="0"/>
              <w:ind w:left="62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TOTAL</w:t>
            </w:r>
          </w:p>
        </w:tc>
        <w:tc>
          <w:tcPr>
            <w:tcW w:w="1565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22.471.255,55</w:t>
            </w:r>
          </w:p>
        </w:tc>
        <w:tc>
          <w:tcPr>
            <w:tcW w:w="1737" w:type="dxa"/>
          </w:tcPr>
          <w:p w:rsidR="00EE10B0" w:rsidRPr="00D92628" w:rsidRDefault="00D92628" w:rsidP="00D92628">
            <w:pPr>
              <w:pStyle w:val="TableParagraph"/>
              <w:spacing w:before="0"/>
              <w:ind w:right="45"/>
              <w:jc w:val="center"/>
              <w:rPr>
                <w:rFonts w:asciiTheme="minorHAnsi" w:hAnsiTheme="minorHAnsi"/>
                <w:color w:val="242121"/>
              </w:rPr>
            </w:pPr>
            <w:r w:rsidRPr="00D92628">
              <w:rPr>
                <w:rFonts w:asciiTheme="minorHAnsi" w:hAnsiTheme="minorHAnsi"/>
                <w:color w:val="242121"/>
              </w:rPr>
              <w:t>19.355.669,35 €</w:t>
            </w:r>
          </w:p>
        </w:tc>
      </w:tr>
    </w:tbl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EE10B0" w:rsidRPr="00A5501A" w:rsidRDefault="00D92628" w:rsidP="00A5501A">
      <w:pPr>
        <w:pStyle w:val="Textoindependiente"/>
        <w:ind w:left="567" w:right="689"/>
        <w:jc w:val="both"/>
        <w:rPr>
          <w:rFonts w:asciiTheme="minorHAnsi" w:hAnsiTheme="minorHAnsi"/>
          <w:color w:val="242121"/>
          <w:w w:val="105"/>
          <w:sz w:val="22"/>
          <w:szCs w:val="22"/>
        </w:rPr>
      </w:pP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consecuencia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, 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importe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total do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Inventario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Xeral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Bens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Dereitos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Corporación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a 31de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decembro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de 2008 é de </w:t>
      </w:r>
      <w:proofErr w:type="gram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22.471.255 ,</w:t>
      </w:r>
      <w:proofErr w:type="gram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55 € (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vinte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dous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millóns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catro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centos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setenta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un mil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douscentos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cincuenta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euros con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cincuenta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cinto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céntimos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) de valor de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adquisición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é de 19.355.669,35 € (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dezanove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millóns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trescentos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cincuenta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mil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seis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­ centos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sesenta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nove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euros, con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trinta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e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cinco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céntimos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) de valor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neto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.</w:t>
      </w:r>
    </w:p>
    <w:p w:rsidR="00EE10B0" w:rsidRPr="00A5501A" w:rsidRDefault="00D92628" w:rsidP="00A5501A">
      <w:pPr>
        <w:pStyle w:val="Textoindependiente"/>
        <w:ind w:left="567"/>
        <w:rPr>
          <w:rFonts w:asciiTheme="minorHAnsi" w:hAnsiTheme="minorHAnsi"/>
          <w:color w:val="242121"/>
          <w:w w:val="105"/>
          <w:sz w:val="22"/>
          <w:szCs w:val="22"/>
        </w:rPr>
      </w:pPr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E para que </w:t>
      </w:r>
      <w:proofErr w:type="spellStart"/>
      <w:proofErr w:type="gram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conste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e</w:t>
      </w:r>
      <w:proofErr w:type="gram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aos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efectos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oportunos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,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corresponde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súa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publicación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no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Boletín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Oficial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 xml:space="preserve">  da </w:t>
      </w:r>
      <w:proofErr w:type="spellStart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Provincia</w:t>
      </w:r>
      <w:proofErr w:type="spellEnd"/>
      <w:r w:rsidRPr="00A5501A">
        <w:rPr>
          <w:rFonts w:asciiTheme="minorHAnsi" w:hAnsiTheme="minorHAnsi"/>
          <w:color w:val="242121"/>
          <w:w w:val="105"/>
          <w:sz w:val="22"/>
          <w:szCs w:val="22"/>
        </w:rPr>
        <w:t>.</w:t>
      </w:r>
    </w:p>
    <w:p w:rsidR="00D92628" w:rsidRPr="00D92628" w:rsidRDefault="00D92628" w:rsidP="00D92628">
      <w:pPr>
        <w:pStyle w:val="Textoindependiente"/>
        <w:rPr>
          <w:rFonts w:asciiTheme="minorHAnsi" w:hAnsiTheme="minorHAnsi"/>
          <w:color w:val="242121"/>
          <w:w w:val="95"/>
          <w:sz w:val="22"/>
          <w:szCs w:val="22"/>
        </w:rPr>
      </w:pPr>
    </w:p>
    <w:p w:rsidR="00EE10B0" w:rsidRPr="00D92628" w:rsidRDefault="00EE10B0" w:rsidP="00D92628">
      <w:pPr>
        <w:pStyle w:val="Textoindependiente"/>
        <w:rPr>
          <w:rFonts w:asciiTheme="minorHAnsi" w:hAnsiTheme="minorHAnsi"/>
          <w:color w:val="242121"/>
          <w:w w:val="95"/>
          <w:sz w:val="22"/>
          <w:szCs w:val="22"/>
        </w:rPr>
      </w:pPr>
    </w:p>
    <w:p w:rsidR="00EE10B0" w:rsidRPr="00D92628" w:rsidRDefault="00EE10B0" w:rsidP="00D92628">
      <w:pPr>
        <w:rPr>
          <w:rFonts w:asciiTheme="minorHAnsi" w:hAnsiTheme="minorHAnsi"/>
          <w:color w:val="242121"/>
          <w:w w:val="95"/>
        </w:rPr>
        <w:sectPr w:rsidR="00EE10B0" w:rsidRPr="00D92628">
          <w:type w:val="continuous"/>
          <w:pgSz w:w="11910" w:h="16840"/>
          <w:pgMar w:top="300" w:right="700" w:bottom="280" w:left="740" w:header="720" w:footer="720" w:gutter="0"/>
          <w:cols w:space="720"/>
        </w:sectPr>
      </w:pPr>
    </w:p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D92628" w:rsidRPr="00A5501A" w:rsidRDefault="00D92628" w:rsidP="00D92628">
      <w:pPr>
        <w:pStyle w:val="Textoindependiente"/>
        <w:ind w:left="469"/>
        <w:rPr>
          <w:rFonts w:asciiTheme="minorHAnsi" w:hAnsiTheme="minorHAnsi"/>
          <w:i/>
          <w:color w:val="242121"/>
          <w:w w:val="105"/>
          <w:sz w:val="22"/>
          <w:szCs w:val="22"/>
        </w:rPr>
      </w:pPr>
      <w:proofErr w:type="spellStart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>Cedeira</w:t>
      </w:r>
      <w:proofErr w:type="spellEnd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 xml:space="preserve">, 17 de </w:t>
      </w:r>
      <w:proofErr w:type="spellStart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>novembro</w:t>
      </w:r>
      <w:proofErr w:type="spellEnd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 xml:space="preserve"> de 2009 </w:t>
      </w:r>
    </w:p>
    <w:p w:rsidR="00EE10B0" w:rsidRPr="00A5501A" w:rsidRDefault="00D92628" w:rsidP="00D92628">
      <w:pPr>
        <w:pStyle w:val="Textoindependiente"/>
        <w:ind w:left="469"/>
        <w:rPr>
          <w:rFonts w:asciiTheme="minorHAnsi" w:hAnsiTheme="minorHAnsi"/>
          <w:i/>
          <w:color w:val="242121"/>
          <w:w w:val="105"/>
          <w:sz w:val="22"/>
          <w:szCs w:val="22"/>
        </w:rPr>
      </w:pPr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 xml:space="preserve">O </w:t>
      </w:r>
      <w:proofErr w:type="spellStart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>Alcalde</w:t>
      </w:r>
      <w:proofErr w:type="spellEnd"/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>,</w:t>
      </w:r>
    </w:p>
    <w:p w:rsidR="00EE10B0" w:rsidRPr="00A5501A" w:rsidRDefault="00D92628" w:rsidP="00A5501A">
      <w:pPr>
        <w:pStyle w:val="Textoindependiente"/>
        <w:ind w:left="465"/>
        <w:rPr>
          <w:rFonts w:asciiTheme="minorHAnsi" w:hAnsiTheme="minorHAnsi"/>
          <w:i/>
          <w:color w:val="242121"/>
          <w:w w:val="105"/>
          <w:sz w:val="22"/>
          <w:szCs w:val="22"/>
        </w:rPr>
      </w:pPr>
      <w:r w:rsidRPr="00A5501A">
        <w:rPr>
          <w:rFonts w:asciiTheme="minorHAnsi" w:hAnsiTheme="minorHAnsi"/>
          <w:i/>
          <w:color w:val="242121"/>
          <w:w w:val="105"/>
          <w:sz w:val="22"/>
          <w:szCs w:val="22"/>
        </w:rPr>
        <w:t>José Luis Vergara Rey</w:t>
      </w:r>
    </w:p>
    <w:p w:rsidR="00EE10B0" w:rsidRPr="00D92628" w:rsidRDefault="00D92628" w:rsidP="00D92628">
      <w:pPr>
        <w:pStyle w:val="Textoindependiente"/>
        <w:rPr>
          <w:rFonts w:asciiTheme="minorHAnsi" w:hAnsiTheme="minorHAnsi"/>
          <w:sz w:val="22"/>
          <w:szCs w:val="22"/>
        </w:rPr>
      </w:pPr>
      <w:r w:rsidRPr="00D92628">
        <w:rPr>
          <w:rFonts w:asciiTheme="minorHAnsi" w:hAnsiTheme="minorHAnsi"/>
          <w:sz w:val="22"/>
          <w:szCs w:val="22"/>
        </w:rPr>
        <w:br w:type="column"/>
      </w:r>
    </w:p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EE10B0" w:rsidRPr="00D92628" w:rsidRDefault="00EE10B0" w:rsidP="00D92628">
      <w:pPr>
        <w:pStyle w:val="Textoindependiente"/>
        <w:rPr>
          <w:rFonts w:asciiTheme="minorHAnsi" w:hAnsiTheme="minorHAnsi"/>
          <w:sz w:val="22"/>
          <w:szCs w:val="22"/>
        </w:rPr>
      </w:pPr>
    </w:p>
    <w:p w:rsidR="00EE10B0" w:rsidRDefault="00EE10B0">
      <w:pPr>
        <w:pStyle w:val="Textoindependiente"/>
        <w:spacing w:before="2"/>
        <w:rPr>
          <w:sz w:val="15"/>
        </w:rPr>
      </w:pPr>
    </w:p>
    <w:p w:rsidR="00EE10B0" w:rsidRDefault="00D92628">
      <w:pPr>
        <w:pStyle w:val="Textoindependiente"/>
        <w:spacing w:before="1"/>
        <w:ind w:left="464"/>
        <w:rPr>
          <w:rFonts w:ascii="Times New Roman"/>
        </w:rPr>
      </w:pPr>
      <w:r>
        <w:rPr>
          <w:rFonts w:ascii="Times New Roman"/>
          <w:color w:val="242121"/>
          <w:w w:val="105"/>
        </w:rPr>
        <w:t>2009</w:t>
      </w:r>
      <w:r>
        <w:rPr>
          <w:rFonts w:ascii="Times New Roman"/>
          <w:color w:val="4B4849"/>
          <w:w w:val="105"/>
        </w:rPr>
        <w:t xml:space="preserve">/ </w:t>
      </w:r>
      <w:r>
        <w:rPr>
          <w:rFonts w:ascii="Times New Roman"/>
          <w:color w:val="242121"/>
          <w:w w:val="105"/>
        </w:rPr>
        <w:t>17210</w:t>
      </w:r>
    </w:p>
    <w:p w:rsidR="00EE10B0" w:rsidRDefault="00EE10B0">
      <w:pPr>
        <w:rPr>
          <w:rFonts w:ascii="Times New Roman"/>
        </w:rPr>
        <w:sectPr w:rsidR="00EE10B0" w:rsidSect="00A5501A">
          <w:type w:val="continuous"/>
          <w:pgSz w:w="11910" w:h="16840"/>
          <w:pgMar w:top="300" w:right="700" w:bottom="280" w:left="740" w:header="720" w:footer="720" w:gutter="0"/>
          <w:cols w:num="2" w:space="720" w:equalWidth="0">
            <w:col w:w="3938" w:space="5029"/>
            <w:col w:w="1503"/>
          </w:cols>
        </w:sectPr>
      </w:pPr>
    </w:p>
    <w:p w:rsidR="00EE10B0" w:rsidRDefault="00D92628">
      <w:pPr>
        <w:pStyle w:val="Textoindependiente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498590" cy="7620"/>
                <wp:effectExtent l="5715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7620"/>
                          <a:chOff x="0" y="0"/>
                          <a:chExt cx="10234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" y="6"/>
                            <a:ext cx="102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1.7pt;height:.6pt;mso-position-horizontal-relative:char;mso-position-vertical-relative:line" coordsize="102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">
                <v:line id="Line 3" o:spid="_x0000_s1027" style="position:absolute;visibility:visible;mso-wrap-style:square" from="6,6" to="10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2wCcEAAADaAAAADwAAAGRycy9kb3ducmV2LnhtbESPT2uDQBTE74V+h+UVemvWChWxWSUN&#10;pPRYjeT8cF9V4r4Vd+ufb98tBHIcZuY3zL5YzSBmmlxvWcHrLgJB3Fjdc6ugPp9eUhDOI2scLJOC&#10;jRwU+ePDHjNtFy5prnwrAoRdhgo678dMStd0ZNDt7EgcvB87GfRBTq3UEy4BbgYZR1EiDfYcFjoc&#10;6dhRc61+jYLkLU4/9fESf7R18r2cZLmdt1Wp56f18A7C0+rv4Vv7SyuI4f9Ku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bAJwQAAANoAAAAPAAAAAAAAAAAAAAAA&#10;AKECAABkcnMvZG93bnJldi54bWxQSwUGAAAAAAQABAD5AAAAjwMAAAAA&#10;" strokecolor="#1f1c1f" strokeweight=".6pt"/>
                <w10:anchorlock/>
              </v:group>
            </w:pict>
          </mc:Fallback>
        </mc:AlternateContent>
      </w:r>
    </w:p>
    <w:sectPr w:rsidR="00EE10B0">
      <w:type w:val="continuous"/>
      <w:pgSz w:w="11910" w:h="16840"/>
      <w:pgMar w:top="3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0"/>
    <w:rsid w:val="00A5501A"/>
    <w:rsid w:val="00D92628"/>
    <w:rsid w:val="00E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bop_255.pdf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bop_255.pdf</dc:title>
  <dc:creator>Monitim</dc:creator>
  <cp:lastModifiedBy>Monitim</cp:lastModifiedBy>
  <cp:revision>3</cp:revision>
  <dcterms:created xsi:type="dcterms:W3CDTF">2016-03-13T14:25:00Z</dcterms:created>
  <dcterms:modified xsi:type="dcterms:W3CDTF">2016-03-13T16:02:00Z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LastSaved">
    <vt:filetime>2016-03-13T00:00:00Z</vt:filetime>
  </property>
</Properties>
</file>