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46" w:rsidRPr="00F42BE0" w:rsidRDefault="00330A46" w:rsidP="00330A46">
      <w:pPr>
        <w:tabs>
          <w:tab w:val="center" w:pos="4512"/>
        </w:tabs>
        <w:jc w:val="both"/>
        <w:rPr>
          <w:b/>
          <w:bCs/>
          <w:sz w:val="22"/>
          <w:szCs w:val="22"/>
        </w:rPr>
      </w:pPr>
      <w:r w:rsidRPr="00F42BE0">
        <w:rPr>
          <w:b/>
          <w:bCs/>
          <w:sz w:val="22"/>
          <w:szCs w:val="22"/>
        </w:rPr>
        <w:t>INFORME SOBRE A EXECUCIÓN PRESUPOSTAR</w:t>
      </w:r>
      <w:r>
        <w:rPr>
          <w:b/>
          <w:bCs/>
          <w:sz w:val="22"/>
          <w:szCs w:val="22"/>
        </w:rPr>
        <w:t>IA NO PRIMEIRO SEMESTRE DE 2017</w:t>
      </w:r>
      <w:r w:rsidRPr="00F42BE0">
        <w:rPr>
          <w:b/>
          <w:bCs/>
          <w:sz w:val="22"/>
          <w:szCs w:val="22"/>
        </w:rPr>
        <w:t xml:space="preserve"> E AVANCE DA LIQUIDACIÓN 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De </w:t>
      </w:r>
      <w:proofErr w:type="spellStart"/>
      <w:r w:rsidRPr="00F42BE0">
        <w:rPr>
          <w:sz w:val="22"/>
          <w:szCs w:val="22"/>
        </w:rPr>
        <w:t>conformidade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co</w:t>
      </w:r>
      <w:proofErr w:type="spellEnd"/>
      <w:r w:rsidRPr="00F42BE0">
        <w:rPr>
          <w:sz w:val="22"/>
          <w:szCs w:val="22"/>
        </w:rPr>
        <w:t xml:space="preserve"> previsto no 207 de Texto Refundido da </w:t>
      </w:r>
      <w:proofErr w:type="spellStart"/>
      <w:r w:rsidRPr="00F42BE0">
        <w:rPr>
          <w:sz w:val="22"/>
          <w:szCs w:val="22"/>
        </w:rPr>
        <w:t>Lei</w:t>
      </w:r>
      <w:proofErr w:type="spellEnd"/>
      <w:r w:rsidRPr="00F42BE0">
        <w:rPr>
          <w:sz w:val="22"/>
          <w:szCs w:val="22"/>
        </w:rPr>
        <w:t xml:space="preserve"> reguladora das </w:t>
      </w:r>
      <w:proofErr w:type="spellStart"/>
      <w:r w:rsidRPr="00F42BE0">
        <w:rPr>
          <w:sz w:val="22"/>
          <w:szCs w:val="22"/>
        </w:rPr>
        <w:t>Facendas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Locais</w:t>
      </w:r>
      <w:proofErr w:type="spellEnd"/>
      <w:r w:rsidRPr="00F42BE0">
        <w:rPr>
          <w:sz w:val="22"/>
          <w:szCs w:val="22"/>
        </w:rPr>
        <w:t xml:space="preserve"> e 56 das Bases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do </w:t>
      </w:r>
      <w:proofErr w:type="spellStart"/>
      <w:r w:rsidRPr="00F42BE0">
        <w:rPr>
          <w:sz w:val="22"/>
          <w:szCs w:val="22"/>
        </w:rPr>
        <w:t>Orzamento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remítese</w:t>
      </w:r>
      <w:proofErr w:type="spellEnd"/>
      <w:r w:rsidRPr="00F42BE0">
        <w:rPr>
          <w:sz w:val="22"/>
          <w:szCs w:val="22"/>
        </w:rPr>
        <w:t xml:space="preserve"> informe da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do </w:t>
      </w:r>
      <w:proofErr w:type="spellStart"/>
      <w:r w:rsidRPr="00F42BE0">
        <w:rPr>
          <w:sz w:val="22"/>
          <w:szCs w:val="22"/>
        </w:rPr>
        <w:t>primeiro</w:t>
      </w:r>
      <w:proofErr w:type="spellEnd"/>
      <w:r w:rsidRPr="00F42BE0">
        <w:rPr>
          <w:sz w:val="22"/>
          <w:szCs w:val="22"/>
        </w:rPr>
        <w:t xml:space="preserve"> semestre e avance da liquidación do </w:t>
      </w:r>
      <w:proofErr w:type="spellStart"/>
      <w:r w:rsidRPr="00F42BE0">
        <w:rPr>
          <w:sz w:val="22"/>
          <w:szCs w:val="22"/>
        </w:rPr>
        <w:t>exercicio</w:t>
      </w:r>
      <w:proofErr w:type="spellEnd"/>
      <w:r w:rsidRPr="00F42BE0">
        <w:rPr>
          <w:sz w:val="22"/>
          <w:szCs w:val="22"/>
        </w:rPr>
        <w:t xml:space="preserve"> 2017, tanto no referente </w:t>
      </w:r>
      <w:proofErr w:type="spellStart"/>
      <w:r w:rsidRPr="00F42BE0">
        <w:rPr>
          <w:sz w:val="22"/>
          <w:szCs w:val="22"/>
        </w:rPr>
        <w:t>aos</w:t>
      </w:r>
      <w:proofErr w:type="spellEnd"/>
      <w:r w:rsidRPr="00F42BE0">
        <w:rPr>
          <w:sz w:val="22"/>
          <w:szCs w:val="22"/>
        </w:rPr>
        <w:t xml:space="preserve"> gastos como ingresos do </w:t>
      </w:r>
      <w:proofErr w:type="spellStart"/>
      <w:r w:rsidRPr="00F42BE0">
        <w:rPr>
          <w:sz w:val="22"/>
          <w:szCs w:val="22"/>
        </w:rPr>
        <w:t>exercicio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Para o </w:t>
      </w:r>
      <w:proofErr w:type="spellStart"/>
      <w:r w:rsidRPr="00F42BE0">
        <w:rPr>
          <w:sz w:val="22"/>
          <w:szCs w:val="22"/>
        </w:rPr>
        <w:t>análise</w:t>
      </w:r>
      <w:proofErr w:type="spellEnd"/>
      <w:r w:rsidRPr="00F42BE0">
        <w:rPr>
          <w:sz w:val="22"/>
          <w:szCs w:val="22"/>
        </w:rPr>
        <w:t xml:space="preserve"> dos datos </w:t>
      </w:r>
      <w:proofErr w:type="spellStart"/>
      <w:r w:rsidRPr="00F42BE0">
        <w:rPr>
          <w:sz w:val="22"/>
          <w:szCs w:val="22"/>
        </w:rPr>
        <w:t>empregouse</w:t>
      </w:r>
      <w:proofErr w:type="spellEnd"/>
      <w:r w:rsidRPr="00F42BE0">
        <w:rPr>
          <w:sz w:val="22"/>
          <w:szCs w:val="22"/>
        </w:rPr>
        <w:t xml:space="preserve"> a </w:t>
      </w:r>
      <w:proofErr w:type="spellStart"/>
      <w:r w:rsidRPr="00F42BE0">
        <w:rPr>
          <w:sz w:val="22"/>
          <w:szCs w:val="22"/>
        </w:rPr>
        <w:t>funcionalidade</w:t>
      </w:r>
      <w:proofErr w:type="spellEnd"/>
      <w:r w:rsidRPr="00F42BE0">
        <w:rPr>
          <w:sz w:val="22"/>
          <w:szCs w:val="22"/>
        </w:rPr>
        <w:t xml:space="preserve"> SICALWIN facilitada </w:t>
      </w:r>
      <w:proofErr w:type="spellStart"/>
      <w:r w:rsidRPr="00F42BE0">
        <w:rPr>
          <w:sz w:val="22"/>
          <w:szCs w:val="22"/>
        </w:rPr>
        <w:t>pola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Deputación</w:t>
      </w:r>
      <w:proofErr w:type="spellEnd"/>
      <w:r w:rsidRPr="00F42BE0">
        <w:rPr>
          <w:sz w:val="22"/>
          <w:szCs w:val="22"/>
        </w:rPr>
        <w:t xml:space="preserve"> para dar </w:t>
      </w:r>
      <w:proofErr w:type="spellStart"/>
      <w:r w:rsidRPr="00F42BE0">
        <w:rPr>
          <w:sz w:val="22"/>
          <w:szCs w:val="22"/>
        </w:rPr>
        <w:t>cumprimento</w:t>
      </w:r>
      <w:proofErr w:type="spellEnd"/>
      <w:r w:rsidRPr="00F42BE0">
        <w:rPr>
          <w:sz w:val="22"/>
          <w:szCs w:val="22"/>
        </w:rPr>
        <w:t xml:space="preserve"> á </w:t>
      </w:r>
      <w:proofErr w:type="spellStart"/>
      <w:r w:rsidRPr="00F42BE0">
        <w:rPr>
          <w:sz w:val="22"/>
          <w:szCs w:val="22"/>
        </w:rPr>
        <w:t>Orde</w:t>
      </w:r>
      <w:proofErr w:type="spellEnd"/>
      <w:r w:rsidRPr="00F42BE0">
        <w:rPr>
          <w:sz w:val="22"/>
          <w:szCs w:val="22"/>
        </w:rPr>
        <w:t xml:space="preserve"> HAP/2105/2012 de 1 de </w:t>
      </w:r>
      <w:proofErr w:type="spellStart"/>
      <w:r w:rsidRPr="00F42BE0">
        <w:rPr>
          <w:sz w:val="22"/>
          <w:szCs w:val="22"/>
        </w:rPr>
        <w:t>outubro</w:t>
      </w:r>
      <w:proofErr w:type="spellEnd"/>
      <w:r w:rsidRPr="00F42BE0">
        <w:rPr>
          <w:sz w:val="22"/>
          <w:szCs w:val="22"/>
        </w:rPr>
        <w:t xml:space="preserve">, </w:t>
      </w:r>
      <w:proofErr w:type="spellStart"/>
      <w:r w:rsidRPr="00F42BE0">
        <w:rPr>
          <w:sz w:val="22"/>
          <w:szCs w:val="22"/>
        </w:rPr>
        <w:t>pola</w:t>
      </w:r>
      <w:proofErr w:type="spellEnd"/>
      <w:r w:rsidRPr="00F42BE0">
        <w:rPr>
          <w:sz w:val="22"/>
          <w:szCs w:val="22"/>
        </w:rPr>
        <w:t xml:space="preserve"> que se </w:t>
      </w:r>
      <w:proofErr w:type="spellStart"/>
      <w:r w:rsidRPr="00F42BE0">
        <w:rPr>
          <w:sz w:val="22"/>
          <w:szCs w:val="22"/>
        </w:rPr>
        <w:t>desenrolan</w:t>
      </w:r>
      <w:proofErr w:type="spellEnd"/>
      <w:r w:rsidRPr="00F42BE0">
        <w:rPr>
          <w:sz w:val="22"/>
          <w:szCs w:val="22"/>
        </w:rPr>
        <w:t xml:space="preserve"> as </w:t>
      </w:r>
      <w:proofErr w:type="spellStart"/>
      <w:r w:rsidRPr="00F42BE0">
        <w:rPr>
          <w:sz w:val="22"/>
          <w:szCs w:val="22"/>
        </w:rPr>
        <w:t>obrigacións</w:t>
      </w:r>
      <w:proofErr w:type="spellEnd"/>
      <w:r w:rsidRPr="00F42BE0">
        <w:rPr>
          <w:sz w:val="22"/>
          <w:szCs w:val="22"/>
        </w:rPr>
        <w:t xml:space="preserve"> de subministro de información previstas en la </w:t>
      </w:r>
      <w:proofErr w:type="spellStart"/>
      <w:r w:rsidRPr="00F42BE0">
        <w:rPr>
          <w:sz w:val="22"/>
          <w:szCs w:val="22"/>
        </w:rPr>
        <w:t>Lei</w:t>
      </w:r>
      <w:proofErr w:type="spellEnd"/>
      <w:r w:rsidRPr="00F42BE0">
        <w:rPr>
          <w:sz w:val="22"/>
          <w:szCs w:val="22"/>
        </w:rPr>
        <w:t xml:space="preserve"> Orgánica 2/2012, de 27 de abril, de </w:t>
      </w:r>
      <w:proofErr w:type="spellStart"/>
      <w:r w:rsidRPr="00F42BE0">
        <w:rPr>
          <w:sz w:val="22"/>
          <w:szCs w:val="22"/>
        </w:rPr>
        <w:t>Estabilidade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Orzamentaria</w:t>
      </w:r>
      <w:proofErr w:type="spellEnd"/>
      <w:r w:rsidRPr="00F42BE0">
        <w:rPr>
          <w:sz w:val="22"/>
          <w:szCs w:val="22"/>
        </w:rPr>
        <w:t xml:space="preserve"> e </w:t>
      </w:r>
      <w:proofErr w:type="spellStart"/>
      <w:r w:rsidRPr="00F42BE0">
        <w:rPr>
          <w:sz w:val="22"/>
          <w:szCs w:val="22"/>
        </w:rPr>
        <w:t>Sostenibilidade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Financeira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sz w:val="22"/>
          <w:szCs w:val="22"/>
        </w:rPr>
        <w:tab/>
      </w:r>
      <w:r w:rsidRPr="00F42BE0">
        <w:rPr>
          <w:b/>
          <w:bCs/>
          <w:sz w:val="22"/>
          <w:szCs w:val="22"/>
          <w:u w:val="single"/>
        </w:rPr>
        <w:t>A. GASTOS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  <w:t xml:space="preserve">A </w:t>
      </w:r>
      <w:proofErr w:type="spellStart"/>
      <w:r w:rsidRPr="00F42BE0">
        <w:rPr>
          <w:sz w:val="22"/>
          <w:szCs w:val="22"/>
        </w:rPr>
        <w:t>análise</w:t>
      </w:r>
      <w:proofErr w:type="spellEnd"/>
      <w:r w:rsidRPr="00F42BE0">
        <w:rPr>
          <w:sz w:val="22"/>
          <w:szCs w:val="22"/>
        </w:rPr>
        <w:t xml:space="preserve"> da evolución dos gastos </w:t>
      </w:r>
      <w:proofErr w:type="spellStart"/>
      <w:r w:rsidRPr="00F42BE0">
        <w:rPr>
          <w:sz w:val="22"/>
          <w:szCs w:val="22"/>
        </w:rPr>
        <w:t>presupostarios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vaise</w:t>
      </w:r>
      <w:proofErr w:type="spellEnd"/>
      <w:r w:rsidRPr="00F42BE0">
        <w:rPr>
          <w:sz w:val="22"/>
          <w:szCs w:val="22"/>
        </w:rPr>
        <w:t xml:space="preserve"> realizar, con carácter </w:t>
      </w:r>
      <w:proofErr w:type="spellStart"/>
      <w:r w:rsidRPr="00F42BE0">
        <w:rPr>
          <w:sz w:val="22"/>
          <w:szCs w:val="22"/>
        </w:rPr>
        <w:t>xeral</w:t>
      </w:r>
      <w:proofErr w:type="spellEnd"/>
      <w:r w:rsidRPr="00F42BE0">
        <w:rPr>
          <w:sz w:val="22"/>
          <w:szCs w:val="22"/>
        </w:rPr>
        <w:t xml:space="preserve">, por capítulos do Estado de Gastos, acompañándose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presente informe un </w:t>
      </w:r>
      <w:proofErr w:type="spellStart"/>
      <w:r w:rsidRPr="00F42BE0">
        <w:rPr>
          <w:sz w:val="22"/>
          <w:szCs w:val="22"/>
        </w:rPr>
        <w:t>cadro</w:t>
      </w:r>
      <w:proofErr w:type="spellEnd"/>
      <w:r w:rsidRPr="00F42BE0">
        <w:rPr>
          <w:sz w:val="22"/>
          <w:szCs w:val="22"/>
        </w:rPr>
        <w:t xml:space="preserve"> detallado dos resultados do presente </w:t>
      </w:r>
      <w:proofErr w:type="spellStart"/>
      <w:r w:rsidRPr="00F42BE0">
        <w:rPr>
          <w:sz w:val="22"/>
          <w:szCs w:val="22"/>
        </w:rPr>
        <w:t>análise</w:t>
      </w:r>
      <w:proofErr w:type="spellEnd"/>
      <w:r w:rsidRPr="00F42BE0">
        <w:rPr>
          <w:sz w:val="22"/>
          <w:szCs w:val="22"/>
        </w:rPr>
        <w:t>, a cal se pasa a analizar a continuación.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  <w:t xml:space="preserve">Con carácter previo, </w:t>
      </w:r>
      <w:proofErr w:type="spellStart"/>
      <w:r w:rsidRPr="00F42BE0">
        <w:rPr>
          <w:sz w:val="22"/>
          <w:szCs w:val="22"/>
        </w:rPr>
        <w:t>débese</w:t>
      </w:r>
      <w:proofErr w:type="spellEnd"/>
      <w:r w:rsidRPr="00F42BE0">
        <w:rPr>
          <w:sz w:val="22"/>
          <w:szCs w:val="22"/>
        </w:rPr>
        <w:t xml:space="preserve"> observar que,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analizarse o estado do </w:t>
      </w:r>
      <w:proofErr w:type="spellStart"/>
      <w:r w:rsidRPr="00F42BE0">
        <w:rPr>
          <w:sz w:val="22"/>
          <w:szCs w:val="22"/>
        </w:rPr>
        <w:t>primeiro</w:t>
      </w:r>
      <w:proofErr w:type="spellEnd"/>
      <w:r w:rsidRPr="00F42BE0">
        <w:rPr>
          <w:sz w:val="22"/>
          <w:szCs w:val="22"/>
        </w:rPr>
        <w:t xml:space="preserve"> semestre do ano, </w:t>
      </w:r>
      <w:r w:rsidRPr="00F42BE0">
        <w:rPr>
          <w:sz w:val="22"/>
          <w:szCs w:val="22"/>
          <w:u w:val="single"/>
        </w:rPr>
        <w:t xml:space="preserve">se debe considerar correcto un estado de </w:t>
      </w:r>
      <w:proofErr w:type="spellStart"/>
      <w:r w:rsidRPr="00F42BE0">
        <w:rPr>
          <w:sz w:val="22"/>
          <w:szCs w:val="22"/>
          <w:u w:val="single"/>
        </w:rPr>
        <w:t>execución</w:t>
      </w:r>
      <w:proofErr w:type="spellEnd"/>
      <w:r w:rsidRPr="00F42BE0">
        <w:rPr>
          <w:sz w:val="22"/>
          <w:szCs w:val="22"/>
          <w:u w:val="single"/>
        </w:rPr>
        <w:t xml:space="preserve"> </w:t>
      </w:r>
      <w:proofErr w:type="spellStart"/>
      <w:r w:rsidRPr="00F42BE0">
        <w:rPr>
          <w:sz w:val="22"/>
          <w:szCs w:val="22"/>
          <w:u w:val="single"/>
        </w:rPr>
        <w:t>presupostario</w:t>
      </w:r>
      <w:proofErr w:type="spellEnd"/>
      <w:r w:rsidRPr="00F42BE0">
        <w:rPr>
          <w:sz w:val="22"/>
          <w:szCs w:val="22"/>
          <w:u w:val="single"/>
        </w:rPr>
        <w:t xml:space="preserve"> en torno </w:t>
      </w:r>
      <w:proofErr w:type="spellStart"/>
      <w:r w:rsidRPr="00F42BE0">
        <w:rPr>
          <w:sz w:val="22"/>
          <w:szCs w:val="22"/>
          <w:u w:val="single"/>
        </w:rPr>
        <w:t>ao</w:t>
      </w:r>
      <w:proofErr w:type="spellEnd"/>
      <w:r w:rsidRPr="00F42BE0">
        <w:rPr>
          <w:sz w:val="22"/>
          <w:szCs w:val="22"/>
          <w:u w:val="single"/>
        </w:rPr>
        <w:t xml:space="preserve"> 50%</w:t>
      </w:r>
      <w:r w:rsidRPr="00F42BE0">
        <w:rPr>
          <w:sz w:val="22"/>
          <w:szCs w:val="22"/>
        </w:rPr>
        <w:t xml:space="preserve">, polo que se entrarán a valorar </w:t>
      </w:r>
      <w:proofErr w:type="spellStart"/>
      <w:r w:rsidRPr="00F42BE0">
        <w:rPr>
          <w:sz w:val="22"/>
          <w:szCs w:val="22"/>
        </w:rPr>
        <w:t>especificamente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aqueles</w:t>
      </w:r>
      <w:proofErr w:type="spellEnd"/>
      <w:r w:rsidRPr="00F42BE0">
        <w:rPr>
          <w:sz w:val="22"/>
          <w:szCs w:val="22"/>
        </w:rPr>
        <w:t xml:space="preserve"> casos en que do listado </w:t>
      </w:r>
      <w:proofErr w:type="spellStart"/>
      <w:r w:rsidRPr="00F42BE0">
        <w:rPr>
          <w:sz w:val="22"/>
          <w:szCs w:val="22"/>
        </w:rPr>
        <w:t>adxunto</w:t>
      </w:r>
      <w:proofErr w:type="spellEnd"/>
      <w:r w:rsidRPr="00F42BE0">
        <w:rPr>
          <w:sz w:val="22"/>
          <w:szCs w:val="22"/>
        </w:rPr>
        <w:t xml:space="preserve"> se derive </w:t>
      </w:r>
      <w:proofErr w:type="spellStart"/>
      <w:r w:rsidRPr="00F42BE0">
        <w:rPr>
          <w:sz w:val="22"/>
          <w:szCs w:val="22"/>
        </w:rPr>
        <w:t>unha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porcentaxe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maior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ou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aos</w:t>
      </w:r>
      <w:proofErr w:type="spellEnd"/>
      <w:r w:rsidRPr="00F42BE0">
        <w:rPr>
          <w:sz w:val="22"/>
          <w:szCs w:val="22"/>
        </w:rPr>
        <w:t xml:space="preserve"> que afecten circunstancias </w:t>
      </w:r>
      <w:proofErr w:type="spellStart"/>
      <w:r w:rsidRPr="00F42BE0">
        <w:rPr>
          <w:sz w:val="22"/>
          <w:szCs w:val="22"/>
        </w:rPr>
        <w:t>especiais</w:t>
      </w:r>
      <w:proofErr w:type="spellEnd"/>
      <w:r w:rsidRPr="00F42BE0">
        <w:rPr>
          <w:sz w:val="22"/>
          <w:szCs w:val="22"/>
        </w:rPr>
        <w:t xml:space="preserve"> que </w:t>
      </w:r>
      <w:proofErr w:type="spellStart"/>
      <w:r w:rsidRPr="00F42BE0">
        <w:rPr>
          <w:sz w:val="22"/>
          <w:szCs w:val="22"/>
        </w:rPr>
        <w:t>requiran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unha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análise</w:t>
      </w:r>
      <w:proofErr w:type="spellEnd"/>
      <w:r w:rsidRPr="00F42BE0">
        <w:rPr>
          <w:sz w:val="22"/>
          <w:szCs w:val="22"/>
        </w:rPr>
        <w:t xml:space="preserve"> concreta. </w:t>
      </w:r>
      <w:proofErr w:type="spellStart"/>
      <w:r w:rsidRPr="00F42BE0">
        <w:rPr>
          <w:sz w:val="22"/>
          <w:szCs w:val="22"/>
        </w:rPr>
        <w:t>Sen</w:t>
      </w:r>
      <w:proofErr w:type="spellEnd"/>
      <w:r w:rsidRPr="00F42BE0">
        <w:rPr>
          <w:sz w:val="22"/>
          <w:szCs w:val="22"/>
        </w:rPr>
        <w:t xml:space="preserve"> embargo debe terse en </w:t>
      </w:r>
      <w:proofErr w:type="spellStart"/>
      <w:r w:rsidRPr="00F42BE0">
        <w:rPr>
          <w:sz w:val="22"/>
          <w:szCs w:val="22"/>
        </w:rPr>
        <w:t>conta</w:t>
      </w:r>
      <w:proofErr w:type="spellEnd"/>
      <w:r w:rsidRPr="00F42BE0">
        <w:rPr>
          <w:sz w:val="22"/>
          <w:szCs w:val="22"/>
        </w:rPr>
        <w:t xml:space="preserve"> que non todos os gastos </w:t>
      </w:r>
      <w:proofErr w:type="spellStart"/>
      <w:r w:rsidRPr="00F42BE0">
        <w:rPr>
          <w:sz w:val="22"/>
          <w:szCs w:val="22"/>
        </w:rPr>
        <w:t>teñen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unha</w:t>
      </w:r>
      <w:proofErr w:type="spellEnd"/>
      <w:r w:rsidRPr="00F42BE0">
        <w:rPr>
          <w:sz w:val="22"/>
          <w:szCs w:val="22"/>
        </w:rPr>
        <w:t xml:space="preserve"> distribución constante no tempo (por </w:t>
      </w:r>
      <w:proofErr w:type="spellStart"/>
      <w:r w:rsidRPr="00F42BE0">
        <w:rPr>
          <w:sz w:val="22"/>
          <w:szCs w:val="22"/>
        </w:rPr>
        <w:t>exemplo</w:t>
      </w:r>
      <w:proofErr w:type="spellEnd"/>
      <w:r w:rsidRPr="00F42BE0">
        <w:rPr>
          <w:sz w:val="22"/>
          <w:szCs w:val="22"/>
        </w:rPr>
        <w:t xml:space="preserve"> os derivados de </w:t>
      </w:r>
      <w:proofErr w:type="spellStart"/>
      <w:r w:rsidRPr="00F42BE0">
        <w:rPr>
          <w:sz w:val="22"/>
          <w:szCs w:val="22"/>
        </w:rPr>
        <w:t>subvencións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ou</w:t>
      </w:r>
      <w:proofErr w:type="spellEnd"/>
      <w:r w:rsidRPr="00F42BE0">
        <w:rPr>
          <w:sz w:val="22"/>
          <w:szCs w:val="22"/>
        </w:rPr>
        <w:t xml:space="preserve"> convenios de colaboración), polo que debería terse en </w:t>
      </w:r>
      <w:proofErr w:type="spellStart"/>
      <w:r w:rsidRPr="00F42BE0">
        <w:rPr>
          <w:sz w:val="22"/>
          <w:szCs w:val="22"/>
        </w:rPr>
        <w:t>conta</w:t>
      </w:r>
      <w:proofErr w:type="spellEnd"/>
      <w:r w:rsidRPr="00F42BE0">
        <w:rPr>
          <w:sz w:val="22"/>
          <w:szCs w:val="22"/>
        </w:rPr>
        <w:t xml:space="preserve"> esta </w:t>
      </w:r>
      <w:proofErr w:type="spellStart"/>
      <w:r w:rsidRPr="00F42BE0">
        <w:rPr>
          <w:sz w:val="22"/>
          <w:szCs w:val="22"/>
        </w:rPr>
        <w:t>circunstacia</w:t>
      </w:r>
      <w:proofErr w:type="spellEnd"/>
      <w:r w:rsidRPr="00F42BE0">
        <w:rPr>
          <w:sz w:val="22"/>
          <w:szCs w:val="22"/>
        </w:rPr>
        <w:t xml:space="preserve"> para valorar o </w:t>
      </w:r>
      <w:proofErr w:type="spellStart"/>
      <w:r w:rsidRPr="00F42BE0">
        <w:rPr>
          <w:sz w:val="22"/>
          <w:szCs w:val="22"/>
        </w:rPr>
        <w:t>cumprimento</w:t>
      </w:r>
      <w:proofErr w:type="spellEnd"/>
      <w:r w:rsidRPr="00F42BE0">
        <w:rPr>
          <w:sz w:val="22"/>
          <w:szCs w:val="22"/>
        </w:rPr>
        <w:t xml:space="preserve"> da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orzamentaria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  <w:t xml:space="preserve">Por </w:t>
      </w:r>
      <w:proofErr w:type="spellStart"/>
      <w:r w:rsidRPr="00F42BE0">
        <w:rPr>
          <w:sz w:val="22"/>
          <w:szCs w:val="22"/>
        </w:rPr>
        <w:t>outra</w:t>
      </w:r>
      <w:proofErr w:type="spellEnd"/>
      <w:r w:rsidRPr="00F42BE0">
        <w:rPr>
          <w:sz w:val="22"/>
          <w:szCs w:val="22"/>
        </w:rPr>
        <w:t xml:space="preserve"> parte debe recordarse que nos </w:t>
      </w:r>
      <w:proofErr w:type="spellStart"/>
      <w:r w:rsidRPr="00F42BE0">
        <w:rPr>
          <w:sz w:val="22"/>
          <w:szCs w:val="22"/>
        </w:rPr>
        <w:t>seguintes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cadros</w:t>
      </w:r>
      <w:proofErr w:type="spellEnd"/>
      <w:r w:rsidRPr="00F42BE0">
        <w:rPr>
          <w:sz w:val="22"/>
          <w:szCs w:val="22"/>
        </w:rPr>
        <w:t xml:space="preserve"> figuran os créditos e </w:t>
      </w:r>
      <w:proofErr w:type="spellStart"/>
      <w:r w:rsidRPr="00F42BE0">
        <w:rPr>
          <w:sz w:val="22"/>
          <w:szCs w:val="22"/>
        </w:rPr>
        <w:t>obrigas</w:t>
      </w:r>
      <w:proofErr w:type="spellEnd"/>
      <w:r w:rsidRPr="00F42BE0">
        <w:rPr>
          <w:sz w:val="22"/>
          <w:szCs w:val="22"/>
        </w:rPr>
        <w:t xml:space="preserve"> contabilizados, pero non se </w:t>
      </w:r>
      <w:proofErr w:type="spellStart"/>
      <w:r w:rsidRPr="00F42BE0">
        <w:rPr>
          <w:sz w:val="22"/>
          <w:szCs w:val="22"/>
        </w:rPr>
        <w:t>inclúe</w:t>
      </w:r>
      <w:proofErr w:type="spellEnd"/>
      <w:r w:rsidRPr="00F42BE0">
        <w:rPr>
          <w:sz w:val="22"/>
          <w:szCs w:val="22"/>
        </w:rPr>
        <w:t xml:space="preserve"> o dato das facturas </w:t>
      </w:r>
      <w:proofErr w:type="spellStart"/>
      <w:r w:rsidRPr="00F42BE0">
        <w:rPr>
          <w:sz w:val="22"/>
          <w:szCs w:val="22"/>
        </w:rPr>
        <w:t>pendentes</w:t>
      </w:r>
      <w:proofErr w:type="spellEnd"/>
      <w:r w:rsidRPr="00F42BE0">
        <w:rPr>
          <w:sz w:val="22"/>
          <w:szCs w:val="22"/>
        </w:rPr>
        <w:t xml:space="preserve"> de tramitar, que elevaría o grado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do </w:t>
      </w:r>
      <w:proofErr w:type="spellStart"/>
      <w:r w:rsidRPr="00F42BE0">
        <w:rPr>
          <w:sz w:val="22"/>
          <w:szCs w:val="22"/>
        </w:rPr>
        <w:t>orzamento</w:t>
      </w:r>
      <w:proofErr w:type="spellEnd"/>
      <w:r w:rsidRPr="00F42BE0">
        <w:rPr>
          <w:sz w:val="22"/>
          <w:szCs w:val="22"/>
        </w:rPr>
        <w:t xml:space="preserve">, </w:t>
      </w:r>
      <w:proofErr w:type="spellStart"/>
      <w:r w:rsidRPr="00F42BE0">
        <w:rPr>
          <w:sz w:val="22"/>
          <w:szCs w:val="22"/>
        </w:rPr>
        <w:t>ou</w:t>
      </w:r>
      <w:proofErr w:type="spellEnd"/>
      <w:r w:rsidRPr="00F42BE0">
        <w:rPr>
          <w:sz w:val="22"/>
          <w:szCs w:val="22"/>
        </w:rPr>
        <w:t xml:space="preserve"> incluso provocando algún déficit entre os gastos efectivamente realizados  e os créditos definitivos.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sz w:val="22"/>
          <w:szCs w:val="22"/>
        </w:rPr>
      </w:pPr>
      <w:r w:rsidRPr="00F42BE0">
        <w:rPr>
          <w:b/>
          <w:sz w:val="22"/>
          <w:szCs w:val="22"/>
        </w:rPr>
        <w:t xml:space="preserve">Datos da liquidación do </w:t>
      </w:r>
      <w:proofErr w:type="spellStart"/>
      <w:r w:rsidRPr="00F42BE0">
        <w:rPr>
          <w:b/>
          <w:sz w:val="22"/>
          <w:szCs w:val="22"/>
        </w:rPr>
        <w:t>primeiro</w:t>
      </w:r>
      <w:proofErr w:type="spellEnd"/>
      <w:r w:rsidRPr="00F42BE0">
        <w:rPr>
          <w:b/>
          <w:sz w:val="22"/>
          <w:szCs w:val="22"/>
        </w:rPr>
        <w:t xml:space="preserve"> semestre (datos da </w:t>
      </w:r>
      <w:proofErr w:type="spellStart"/>
      <w:r w:rsidRPr="00F42BE0">
        <w:rPr>
          <w:b/>
          <w:sz w:val="22"/>
          <w:szCs w:val="22"/>
        </w:rPr>
        <w:t>contabilidade</w:t>
      </w:r>
      <w:proofErr w:type="spellEnd"/>
      <w:r w:rsidRPr="00F42BE0">
        <w:rPr>
          <w:b/>
          <w:sz w:val="22"/>
          <w:szCs w:val="22"/>
        </w:rPr>
        <w:t xml:space="preserve"> a 30-06-2017)</w:t>
      </w:r>
    </w:p>
    <w:p w:rsidR="00330A46" w:rsidRPr="00F42BE0" w:rsidRDefault="00330A46" w:rsidP="00330A46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244"/>
        <w:gridCol w:w="1175"/>
        <w:gridCol w:w="1811"/>
        <w:gridCol w:w="1114"/>
        <w:gridCol w:w="1554"/>
      </w:tblGrid>
      <w:tr w:rsidR="00330A46" w:rsidRPr="00F42BE0" w:rsidTr="00330A46">
        <w:trPr>
          <w:trHeight w:val="255"/>
        </w:trPr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CAPÍTULOS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Créditos Iniciales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Créditos Totales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Obligaciones Reconocidas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Pagos Líquidos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%ORN/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Cdtos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>. Totales</w:t>
            </w:r>
          </w:p>
        </w:tc>
      </w:tr>
      <w:tr w:rsidR="00330A46" w:rsidRPr="00F42BE0" w:rsidTr="00330A46">
        <w:trPr>
          <w:trHeight w:val="255"/>
        </w:trPr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Gastos de Personal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2.299.670,00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2.398.304,84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1.007.828,79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962.023,42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42,02%</w:t>
            </w:r>
          </w:p>
        </w:tc>
      </w:tr>
      <w:tr w:rsidR="00330A46" w:rsidRPr="00F42BE0" w:rsidTr="00330A46">
        <w:trPr>
          <w:trHeight w:val="255"/>
        </w:trPr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Gastos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Bens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Correntes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2.037.357,59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2.152.701,49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922.338,69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780.383,74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42,85%</w:t>
            </w:r>
          </w:p>
        </w:tc>
      </w:tr>
      <w:tr w:rsidR="00330A46" w:rsidRPr="00F42BE0" w:rsidTr="00330A46">
        <w:trPr>
          <w:trHeight w:val="255"/>
        </w:trPr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Gastos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Financeiros</w:t>
            </w:r>
            <w:proofErr w:type="spellEnd"/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5.300,00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5.300,00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151,27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151,27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2,85%</w:t>
            </w:r>
          </w:p>
        </w:tc>
      </w:tr>
      <w:tr w:rsidR="00330A46" w:rsidRPr="00F42BE0" w:rsidTr="00330A46">
        <w:trPr>
          <w:trHeight w:val="255"/>
        </w:trPr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Transferencias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Correntes</w:t>
            </w:r>
            <w:proofErr w:type="spellEnd"/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330.741,59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330.741,59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46.686,73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42.523,88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14,12%</w:t>
            </w:r>
          </w:p>
        </w:tc>
      </w:tr>
      <w:tr w:rsidR="00330A46" w:rsidRPr="00F42BE0" w:rsidTr="00330A46">
        <w:trPr>
          <w:trHeight w:val="255"/>
        </w:trPr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Investimentos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Reais</w:t>
            </w:r>
            <w:proofErr w:type="spellEnd"/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964.598,37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1.714.971,32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294.216,48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287.432,65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17,16%</w:t>
            </w:r>
          </w:p>
        </w:tc>
      </w:tr>
      <w:tr w:rsidR="00330A46" w:rsidRPr="00F42BE0" w:rsidTr="00330A46">
        <w:trPr>
          <w:trHeight w:val="255"/>
        </w:trPr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Transferencias de Capital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15.700,00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15.700,00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668,85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668,85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4,26%</w:t>
            </w:r>
          </w:p>
        </w:tc>
      </w:tr>
      <w:tr w:rsidR="00330A46" w:rsidRPr="00F42BE0" w:rsidTr="00330A46">
        <w:trPr>
          <w:trHeight w:val="255"/>
        </w:trPr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Activos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Financeiros</w:t>
            </w:r>
            <w:proofErr w:type="spellEnd"/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12" w:type="pct"/>
            <w:shd w:val="clear" w:color="auto" w:fill="D9D9D9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D9D9D9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330A46" w:rsidRPr="00F42BE0" w:rsidTr="00330A46">
        <w:trPr>
          <w:trHeight w:val="255"/>
        </w:trPr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Pasivos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Financeiros</w:t>
            </w:r>
            <w:proofErr w:type="spellEnd"/>
          </w:p>
        </w:tc>
        <w:tc>
          <w:tcPr>
            <w:tcW w:w="924" w:type="pct"/>
            <w:shd w:val="clear" w:color="auto" w:fill="D9D9D9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D9D9D9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D9D9D9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D9D9D9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D9D9D9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</w:p>
        </w:tc>
      </w:tr>
      <w:tr w:rsidR="00330A46" w:rsidRPr="00F42BE0" w:rsidTr="00330A46">
        <w:trPr>
          <w:trHeight w:val="255"/>
        </w:trPr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5.658.367,55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6.622.719,24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2.271.890,81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2.073.183,81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34,30%</w:t>
            </w:r>
          </w:p>
        </w:tc>
      </w:tr>
    </w:tbl>
    <w:p w:rsidR="00330A46" w:rsidRPr="00F42BE0" w:rsidRDefault="00330A46" w:rsidP="00330A46">
      <w:pPr>
        <w:jc w:val="both"/>
        <w:rPr>
          <w:b/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350"/>
        <w:gridCol w:w="1596"/>
        <w:gridCol w:w="1121"/>
        <w:gridCol w:w="1459"/>
        <w:gridCol w:w="1299"/>
      </w:tblGrid>
      <w:tr w:rsidR="00330A46" w:rsidRPr="00F42BE0" w:rsidTr="00330A46">
        <w:trPr>
          <w:trHeight w:val="255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CAPÍTULOS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Previsions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Iniciais</w:t>
            </w:r>
            <w:proofErr w:type="spellEnd"/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Previsions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Definitivas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Dereitos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Netos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Recadación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Líquida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%DRN/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Prev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Def</w:t>
            </w:r>
            <w:proofErr w:type="spellEnd"/>
          </w:p>
        </w:tc>
      </w:tr>
      <w:tr w:rsidR="00330A46" w:rsidRPr="00F42BE0" w:rsidTr="00330A46">
        <w:trPr>
          <w:trHeight w:val="255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Impostos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Directos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2.011.000,00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2.011.000,00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956.805,37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956.805,37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47,58%</w:t>
            </w:r>
          </w:p>
        </w:tc>
      </w:tr>
      <w:tr w:rsidR="00330A46" w:rsidRPr="00F42BE0" w:rsidTr="00330A46">
        <w:trPr>
          <w:trHeight w:val="255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Impostos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Indirectos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19.808,00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19.808,00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123,80%</w:t>
            </w:r>
          </w:p>
        </w:tc>
      </w:tr>
      <w:tr w:rsidR="00330A46" w:rsidRPr="00F42BE0" w:rsidTr="00330A46">
        <w:trPr>
          <w:trHeight w:val="255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Tasas e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outros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Ingresos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742.800,00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758.255,51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494.753,84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484.076,31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65,25%</w:t>
            </w:r>
          </w:p>
        </w:tc>
      </w:tr>
      <w:tr w:rsidR="00330A46" w:rsidRPr="00F42BE0" w:rsidTr="00330A46">
        <w:trPr>
          <w:trHeight w:val="255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Transferencias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Correntes</w:t>
            </w:r>
            <w:proofErr w:type="spellEnd"/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2.351.312,47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2.536.586,16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1.086.259,12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1.086.259,12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42,82%</w:t>
            </w:r>
          </w:p>
        </w:tc>
      </w:tr>
      <w:tr w:rsidR="00330A46" w:rsidRPr="00F42BE0" w:rsidTr="00330A46">
        <w:trPr>
          <w:trHeight w:val="255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Ingresos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Patrimonias</w:t>
            </w:r>
            <w:proofErr w:type="spellEnd"/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95.734,20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95.734,20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2.106,52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2.106,52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2,20%</w:t>
            </w:r>
          </w:p>
        </w:tc>
      </w:tr>
      <w:tr w:rsidR="00330A46" w:rsidRPr="00F42BE0" w:rsidTr="00330A46">
        <w:trPr>
          <w:trHeight w:val="255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Transferencias de Capital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223.124,63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679.444,30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187.810,50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187.810,50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27,64%</w:t>
            </w:r>
          </w:p>
        </w:tc>
      </w:tr>
      <w:tr w:rsidR="00330A46" w:rsidRPr="00F42BE0" w:rsidTr="00330A46">
        <w:trPr>
          <w:trHeight w:val="255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Activos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Financeiros</w:t>
            </w:r>
            <w:proofErr w:type="spellEnd"/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100.186,96</w:t>
            </w:r>
          </w:p>
        </w:tc>
        <w:tc>
          <w:tcPr>
            <w:tcW w:w="922" w:type="pct"/>
            <w:shd w:val="clear" w:color="auto" w:fill="D9D9D9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D9D9D9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330A46" w:rsidRPr="00F42BE0" w:rsidTr="00330A46">
        <w:trPr>
          <w:trHeight w:val="255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Pasivos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Financeiros</w:t>
            </w:r>
            <w:proofErr w:type="spellEnd"/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213.396,25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425.512,11</w:t>
            </w:r>
          </w:p>
        </w:tc>
        <w:tc>
          <w:tcPr>
            <w:tcW w:w="922" w:type="pct"/>
            <w:shd w:val="clear" w:color="auto" w:fill="D9D9D9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D9D9D9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330A46" w:rsidRPr="00F42BE0" w:rsidTr="00330A46">
        <w:trPr>
          <w:trHeight w:val="255"/>
        </w:trPr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5.658.367,55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6.622.719,24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2.747.543,35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2.736.865,82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41,49%</w:t>
            </w:r>
          </w:p>
        </w:tc>
      </w:tr>
    </w:tbl>
    <w:p w:rsidR="00330A46" w:rsidRPr="00F42BE0" w:rsidRDefault="00330A46" w:rsidP="00330A46">
      <w:pPr>
        <w:jc w:val="both"/>
        <w:rPr>
          <w:b/>
          <w:sz w:val="22"/>
          <w:szCs w:val="22"/>
        </w:rPr>
      </w:pPr>
    </w:p>
    <w:p w:rsidR="00330A46" w:rsidRPr="00F42BE0" w:rsidRDefault="00330A46" w:rsidP="00330A46">
      <w:pPr>
        <w:jc w:val="both"/>
        <w:rPr>
          <w:color w:val="000000"/>
          <w:sz w:val="22"/>
          <w:szCs w:val="22"/>
          <w:u w:val="single"/>
          <w:lang w:val="es-ES"/>
        </w:rPr>
      </w:pPr>
      <w:r w:rsidRPr="00F42BE0">
        <w:rPr>
          <w:sz w:val="22"/>
          <w:szCs w:val="22"/>
        </w:rPr>
        <w:t>Os c</w:t>
      </w:r>
      <w:r w:rsidRPr="00F42BE0">
        <w:rPr>
          <w:color w:val="000000"/>
          <w:sz w:val="22"/>
          <w:szCs w:val="22"/>
          <w:lang w:val="es-ES"/>
        </w:rPr>
        <w:t xml:space="preserve">rédito extraordinario e suplementos de crédito </w:t>
      </w:r>
      <w:proofErr w:type="spellStart"/>
      <w:r w:rsidRPr="00F42BE0">
        <w:rPr>
          <w:color w:val="000000"/>
          <w:sz w:val="22"/>
          <w:szCs w:val="22"/>
          <w:lang w:val="es-ES"/>
        </w:rPr>
        <w:t>recollidos</w:t>
      </w:r>
      <w:proofErr w:type="spellEnd"/>
      <w:r w:rsidRPr="00F42BE0">
        <w:rPr>
          <w:color w:val="000000"/>
          <w:sz w:val="22"/>
          <w:szCs w:val="22"/>
          <w:lang w:val="es-ES"/>
        </w:rPr>
        <w:t xml:space="preserve"> no expediente MC 11 2017 CE 01 2017 SC 01 2017 entraron en vigor no segundo semestre, polo que </w:t>
      </w:r>
      <w:r w:rsidRPr="00F42BE0">
        <w:rPr>
          <w:color w:val="000000"/>
          <w:sz w:val="22"/>
          <w:szCs w:val="22"/>
          <w:u w:val="single"/>
          <w:lang w:val="es-ES"/>
        </w:rPr>
        <w:t xml:space="preserve">non aparecen </w:t>
      </w:r>
      <w:proofErr w:type="spellStart"/>
      <w:r w:rsidRPr="00F42BE0">
        <w:rPr>
          <w:color w:val="000000"/>
          <w:sz w:val="22"/>
          <w:szCs w:val="22"/>
          <w:u w:val="single"/>
          <w:lang w:val="es-ES"/>
        </w:rPr>
        <w:t>reflectido</w:t>
      </w:r>
      <w:proofErr w:type="spellEnd"/>
      <w:r w:rsidRPr="00F42BE0">
        <w:rPr>
          <w:color w:val="000000"/>
          <w:sz w:val="22"/>
          <w:szCs w:val="22"/>
          <w:u w:val="single"/>
          <w:lang w:val="es-ES"/>
        </w:rPr>
        <w:t xml:space="preserve"> na </w:t>
      </w:r>
      <w:proofErr w:type="spellStart"/>
      <w:r w:rsidRPr="00F42BE0">
        <w:rPr>
          <w:color w:val="000000"/>
          <w:sz w:val="22"/>
          <w:szCs w:val="22"/>
          <w:u w:val="single"/>
          <w:lang w:val="es-ES"/>
        </w:rPr>
        <w:t>listaxe</w:t>
      </w:r>
      <w:proofErr w:type="spellEnd"/>
      <w:r w:rsidRPr="00F42BE0">
        <w:rPr>
          <w:color w:val="000000"/>
          <w:sz w:val="22"/>
          <w:szCs w:val="22"/>
          <w:u w:val="single"/>
          <w:lang w:val="es-ES"/>
        </w:rPr>
        <w:t>.</w:t>
      </w:r>
    </w:p>
    <w:p w:rsidR="00330A46" w:rsidRPr="00F42BE0" w:rsidRDefault="00330A46" w:rsidP="00330A46">
      <w:pPr>
        <w:jc w:val="both"/>
        <w:rPr>
          <w:b/>
          <w:sz w:val="22"/>
          <w:szCs w:val="22"/>
          <w:lang w:val="es-ES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b/>
          <w:bCs/>
          <w:sz w:val="22"/>
          <w:szCs w:val="22"/>
          <w:u w:val="single"/>
        </w:rPr>
        <w:t>A. GASTOS.</w:t>
      </w:r>
      <w:r w:rsidRPr="00F42BE0">
        <w:rPr>
          <w:sz w:val="22"/>
          <w:szCs w:val="22"/>
        </w:rPr>
        <w:t xml:space="preserve"> No apartado dos gastos, o </w:t>
      </w:r>
      <w:proofErr w:type="spellStart"/>
      <w:r w:rsidRPr="00F42BE0">
        <w:rPr>
          <w:sz w:val="22"/>
          <w:szCs w:val="22"/>
        </w:rPr>
        <w:t>análise</w:t>
      </w:r>
      <w:proofErr w:type="spellEnd"/>
      <w:r w:rsidRPr="00F42BE0">
        <w:rPr>
          <w:sz w:val="22"/>
          <w:szCs w:val="22"/>
        </w:rPr>
        <w:t xml:space="preserve"> globalizado é o </w:t>
      </w:r>
      <w:proofErr w:type="spellStart"/>
      <w:r w:rsidRPr="00F42BE0">
        <w:rPr>
          <w:sz w:val="22"/>
          <w:szCs w:val="22"/>
        </w:rPr>
        <w:t>seguinte</w:t>
      </w:r>
      <w:proofErr w:type="spellEnd"/>
      <w:r w:rsidRPr="00F42BE0">
        <w:rPr>
          <w:sz w:val="22"/>
          <w:szCs w:val="22"/>
        </w:rPr>
        <w:t>: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b/>
          <w:bCs/>
          <w:sz w:val="22"/>
          <w:szCs w:val="22"/>
          <w:u w:val="single"/>
        </w:rPr>
        <w:t xml:space="preserve">Capítulo I.- Gastos de </w:t>
      </w:r>
      <w:proofErr w:type="spellStart"/>
      <w:r w:rsidRPr="00F42BE0">
        <w:rPr>
          <w:b/>
          <w:bCs/>
          <w:sz w:val="22"/>
          <w:szCs w:val="22"/>
          <w:u w:val="single"/>
        </w:rPr>
        <w:t>Persoal</w:t>
      </w:r>
      <w:proofErr w:type="spellEnd"/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proofErr w:type="spellStart"/>
      <w:r w:rsidRPr="00F42BE0">
        <w:rPr>
          <w:sz w:val="22"/>
          <w:szCs w:val="22"/>
        </w:rPr>
        <w:t>Obsérvase</w:t>
      </w:r>
      <w:proofErr w:type="spellEnd"/>
      <w:r w:rsidRPr="00F42BE0">
        <w:rPr>
          <w:sz w:val="22"/>
          <w:szCs w:val="22"/>
        </w:rPr>
        <w:t xml:space="preserve"> que, en </w:t>
      </w:r>
      <w:proofErr w:type="spellStart"/>
      <w:r w:rsidRPr="00F42BE0">
        <w:rPr>
          <w:sz w:val="22"/>
          <w:szCs w:val="22"/>
        </w:rPr>
        <w:t>xeral</w:t>
      </w:r>
      <w:proofErr w:type="spellEnd"/>
      <w:r w:rsidRPr="00F42BE0">
        <w:rPr>
          <w:sz w:val="22"/>
          <w:szCs w:val="22"/>
        </w:rPr>
        <w:t xml:space="preserve">, este Capítulo presenta un estado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lixeiramente</w:t>
      </w:r>
      <w:proofErr w:type="spellEnd"/>
      <w:r w:rsidRPr="00F42BE0">
        <w:rPr>
          <w:sz w:val="22"/>
          <w:szCs w:val="22"/>
        </w:rPr>
        <w:t xml:space="preserve"> por </w:t>
      </w:r>
      <w:proofErr w:type="spellStart"/>
      <w:r w:rsidRPr="00F42BE0">
        <w:rPr>
          <w:sz w:val="22"/>
          <w:szCs w:val="22"/>
        </w:rPr>
        <w:t>debaixo</w:t>
      </w:r>
      <w:proofErr w:type="spellEnd"/>
      <w:r w:rsidRPr="00F42BE0">
        <w:rPr>
          <w:sz w:val="22"/>
          <w:szCs w:val="22"/>
        </w:rPr>
        <w:t xml:space="preserve"> da </w:t>
      </w:r>
      <w:proofErr w:type="spellStart"/>
      <w:r w:rsidRPr="00F42BE0">
        <w:rPr>
          <w:sz w:val="22"/>
          <w:szCs w:val="22"/>
        </w:rPr>
        <w:t>porcentaxe</w:t>
      </w:r>
      <w:proofErr w:type="spellEnd"/>
      <w:r w:rsidRPr="00F42BE0">
        <w:rPr>
          <w:sz w:val="22"/>
          <w:szCs w:val="22"/>
        </w:rPr>
        <w:t xml:space="preserve"> prevista (42,02%). Debe concluirse que, en </w:t>
      </w:r>
      <w:proofErr w:type="spellStart"/>
      <w:r w:rsidRPr="00F42BE0">
        <w:rPr>
          <w:sz w:val="22"/>
          <w:szCs w:val="22"/>
        </w:rPr>
        <w:t>xeral</w:t>
      </w:r>
      <w:proofErr w:type="spellEnd"/>
      <w:r w:rsidRPr="00F42BE0">
        <w:rPr>
          <w:sz w:val="22"/>
          <w:szCs w:val="22"/>
        </w:rPr>
        <w:t xml:space="preserve">, non parece que </w:t>
      </w:r>
      <w:proofErr w:type="spellStart"/>
      <w:r w:rsidRPr="00F42BE0">
        <w:rPr>
          <w:sz w:val="22"/>
          <w:szCs w:val="22"/>
        </w:rPr>
        <w:t>vaian</w:t>
      </w:r>
      <w:proofErr w:type="spellEnd"/>
      <w:r w:rsidRPr="00F42BE0">
        <w:rPr>
          <w:sz w:val="22"/>
          <w:szCs w:val="22"/>
        </w:rPr>
        <w:t xml:space="preserve"> existir graves problemas </w:t>
      </w:r>
      <w:proofErr w:type="spellStart"/>
      <w:r w:rsidRPr="00F42BE0">
        <w:rPr>
          <w:sz w:val="22"/>
          <w:szCs w:val="22"/>
        </w:rPr>
        <w:t>presupostarios</w:t>
      </w:r>
      <w:proofErr w:type="spellEnd"/>
      <w:r w:rsidRPr="00F42BE0">
        <w:rPr>
          <w:sz w:val="22"/>
          <w:szCs w:val="22"/>
        </w:rPr>
        <w:t xml:space="preserve"> futuros.</w:t>
      </w:r>
    </w:p>
    <w:p w:rsidR="00330A46" w:rsidRPr="00F42BE0" w:rsidRDefault="00330A46" w:rsidP="00330A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sz w:val="22"/>
          <w:szCs w:val="22"/>
          <w:u w:val="single"/>
        </w:rPr>
      </w:pPr>
      <w:r w:rsidRPr="00F42BE0">
        <w:rPr>
          <w:b/>
          <w:sz w:val="22"/>
          <w:szCs w:val="22"/>
          <w:u w:val="single"/>
        </w:rPr>
        <w:t xml:space="preserve">Capítulo II.- Gastos en </w:t>
      </w:r>
      <w:proofErr w:type="spellStart"/>
      <w:r w:rsidRPr="00F42BE0">
        <w:rPr>
          <w:b/>
          <w:sz w:val="22"/>
          <w:szCs w:val="22"/>
          <w:u w:val="single"/>
        </w:rPr>
        <w:t>Bens</w:t>
      </w:r>
      <w:proofErr w:type="spellEnd"/>
      <w:r w:rsidRPr="00F42BE0">
        <w:rPr>
          <w:b/>
          <w:sz w:val="22"/>
          <w:szCs w:val="22"/>
          <w:u w:val="single"/>
        </w:rPr>
        <w:t xml:space="preserve"> </w:t>
      </w:r>
      <w:proofErr w:type="spellStart"/>
      <w:r w:rsidRPr="00F42BE0">
        <w:rPr>
          <w:b/>
          <w:sz w:val="22"/>
          <w:szCs w:val="22"/>
          <w:u w:val="single"/>
        </w:rPr>
        <w:t>Correntes</w:t>
      </w:r>
      <w:proofErr w:type="spellEnd"/>
      <w:r w:rsidRPr="00F42BE0">
        <w:rPr>
          <w:b/>
          <w:sz w:val="22"/>
          <w:szCs w:val="22"/>
          <w:u w:val="single"/>
        </w:rPr>
        <w:t xml:space="preserve"> e </w:t>
      </w:r>
      <w:proofErr w:type="spellStart"/>
      <w:r w:rsidRPr="00F42BE0">
        <w:rPr>
          <w:b/>
          <w:sz w:val="22"/>
          <w:szCs w:val="22"/>
          <w:u w:val="single"/>
        </w:rPr>
        <w:t>Servizos</w:t>
      </w:r>
      <w:proofErr w:type="spellEnd"/>
    </w:p>
    <w:p w:rsidR="00330A46" w:rsidRPr="00F42BE0" w:rsidRDefault="00330A46" w:rsidP="00330A46">
      <w:pPr>
        <w:ind w:firstLine="720"/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As </w:t>
      </w:r>
      <w:proofErr w:type="spellStart"/>
      <w:r w:rsidRPr="00F42BE0">
        <w:rPr>
          <w:sz w:val="22"/>
          <w:szCs w:val="22"/>
        </w:rPr>
        <w:t>obrigas</w:t>
      </w:r>
      <w:proofErr w:type="spellEnd"/>
      <w:r w:rsidRPr="00F42BE0">
        <w:rPr>
          <w:sz w:val="22"/>
          <w:szCs w:val="22"/>
        </w:rPr>
        <w:t xml:space="preserve"> están no 42,85 por 100, pero </w:t>
      </w:r>
      <w:proofErr w:type="spellStart"/>
      <w:r w:rsidRPr="00F42BE0">
        <w:rPr>
          <w:sz w:val="22"/>
          <w:szCs w:val="22"/>
        </w:rPr>
        <w:t>algunhas</w:t>
      </w:r>
      <w:proofErr w:type="spellEnd"/>
      <w:r w:rsidRPr="00F42BE0">
        <w:rPr>
          <w:sz w:val="22"/>
          <w:szCs w:val="22"/>
        </w:rPr>
        <w:t xml:space="preserve"> partidas (por </w:t>
      </w:r>
      <w:proofErr w:type="spellStart"/>
      <w:r w:rsidRPr="00F42BE0">
        <w:rPr>
          <w:sz w:val="22"/>
          <w:szCs w:val="22"/>
        </w:rPr>
        <w:t>exemplo</w:t>
      </w:r>
      <w:proofErr w:type="spellEnd"/>
      <w:r w:rsidRPr="00F42BE0">
        <w:rPr>
          <w:sz w:val="22"/>
          <w:szCs w:val="22"/>
        </w:rPr>
        <w:t xml:space="preserve"> subvencionadas, </w:t>
      </w:r>
      <w:proofErr w:type="spellStart"/>
      <w:r w:rsidRPr="00F42BE0">
        <w:rPr>
          <w:sz w:val="22"/>
          <w:szCs w:val="22"/>
        </w:rPr>
        <w:t>festas</w:t>
      </w:r>
      <w:proofErr w:type="spellEnd"/>
      <w:r w:rsidRPr="00F42BE0">
        <w:rPr>
          <w:sz w:val="22"/>
          <w:szCs w:val="22"/>
        </w:rPr>
        <w:t xml:space="preserve">, </w:t>
      </w:r>
      <w:proofErr w:type="spellStart"/>
      <w:r w:rsidRPr="00F42BE0">
        <w:rPr>
          <w:sz w:val="22"/>
          <w:szCs w:val="22"/>
        </w:rPr>
        <w:t>etc</w:t>
      </w:r>
      <w:proofErr w:type="spellEnd"/>
      <w:r w:rsidRPr="00F42BE0">
        <w:rPr>
          <w:sz w:val="22"/>
          <w:szCs w:val="22"/>
        </w:rPr>
        <w:t xml:space="preserve">) </w:t>
      </w:r>
      <w:proofErr w:type="spellStart"/>
      <w:r w:rsidRPr="00F42BE0">
        <w:rPr>
          <w:sz w:val="22"/>
          <w:szCs w:val="22"/>
        </w:rPr>
        <w:t>teñen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unha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periodificación</w:t>
      </w:r>
      <w:proofErr w:type="spellEnd"/>
      <w:r w:rsidRPr="00F42BE0">
        <w:rPr>
          <w:sz w:val="22"/>
          <w:szCs w:val="22"/>
        </w:rPr>
        <w:t xml:space="preserve"> que non ten que coincidir </w:t>
      </w:r>
      <w:proofErr w:type="spellStart"/>
      <w:r w:rsidRPr="00F42BE0">
        <w:rPr>
          <w:sz w:val="22"/>
          <w:szCs w:val="22"/>
        </w:rPr>
        <w:t>co</w:t>
      </w:r>
      <w:proofErr w:type="spellEnd"/>
      <w:r w:rsidRPr="00F42BE0">
        <w:rPr>
          <w:sz w:val="22"/>
          <w:szCs w:val="22"/>
        </w:rPr>
        <w:t xml:space="preserve"> ano natural, polo que </w:t>
      </w:r>
      <w:proofErr w:type="spellStart"/>
      <w:r w:rsidRPr="00F42BE0">
        <w:rPr>
          <w:sz w:val="22"/>
          <w:szCs w:val="22"/>
        </w:rPr>
        <w:t>tampouco</w:t>
      </w:r>
      <w:proofErr w:type="spellEnd"/>
      <w:r w:rsidRPr="00F42BE0">
        <w:rPr>
          <w:sz w:val="22"/>
          <w:szCs w:val="22"/>
        </w:rPr>
        <w:t xml:space="preserve"> se prevén </w:t>
      </w:r>
      <w:proofErr w:type="spellStart"/>
      <w:r w:rsidRPr="00F42BE0">
        <w:rPr>
          <w:sz w:val="22"/>
          <w:szCs w:val="22"/>
        </w:rPr>
        <w:t>desaxustes</w:t>
      </w:r>
      <w:proofErr w:type="spellEnd"/>
      <w:r w:rsidRPr="00F42BE0">
        <w:rPr>
          <w:sz w:val="22"/>
          <w:szCs w:val="22"/>
        </w:rPr>
        <w:t xml:space="preserve"> importantes.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b/>
          <w:bCs/>
          <w:sz w:val="22"/>
          <w:szCs w:val="22"/>
          <w:u w:val="single"/>
        </w:rPr>
        <w:t xml:space="preserve">Capítulos 3 e 9. - </w:t>
      </w:r>
      <w:proofErr w:type="spellStart"/>
      <w:r w:rsidRPr="00F42BE0">
        <w:rPr>
          <w:b/>
          <w:bCs/>
          <w:sz w:val="22"/>
          <w:szCs w:val="22"/>
          <w:u w:val="single"/>
        </w:rPr>
        <w:t>Débeda</w:t>
      </w:r>
      <w:proofErr w:type="spellEnd"/>
      <w:r w:rsidRPr="00F42BE0">
        <w:rPr>
          <w:b/>
          <w:bCs/>
          <w:sz w:val="22"/>
          <w:szCs w:val="22"/>
          <w:u w:val="single"/>
        </w:rPr>
        <w:t xml:space="preserve"> Pública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color w:val="000000"/>
          <w:sz w:val="22"/>
          <w:szCs w:val="22"/>
          <w:lang w:val="es-ES"/>
        </w:rPr>
      </w:pPr>
      <w:r w:rsidRPr="00F42BE0">
        <w:rPr>
          <w:sz w:val="22"/>
          <w:szCs w:val="22"/>
        </w:rPr>
        <w:t xml:space="preserve">En principio, </w:t>
      </w:r>
      <w:proofErr w:type="spellStart"/>
      <w:r w:rsidRPr="00F42BE0">
        <w:rPr>
          <w:sz w:val="22"/>
          <w:szCs w:val="22"/>
        </w:rPr>
        <w:t>estes</w:t>
      </w:r>
      <w:proofErr w:type="spellEnd"/>
      <w:r w:rsidRPr="00F42BE0">
        <w:rPr>
          <w:sz w:val="22"/>
          <w:szCs w:val="22"/>
        </w:rPr>
        <w:t xml:space="preserve"> Capítulos non presenta apenas </w:t>
      </w:r>
      <w:proofErr w:type="spellStart"/>
      <w:r w:rsidRPr="00F42BE0">
        <w:rPr>
          <w:sz w:val="22"/>
          <w:szCs w:val="22"/>
        </w:rPr>
        <w:t>movimentos</w:t>
      </w:r>
      <w:proofErr w:type="spellEnd"/>
      <w:r w:rsidRPr="00F42BE0">
        <w:rPr>
          <w:sz w:val="22"/>
          <w:szCs w:val="22"/>
        </w:rPr>
        <w:t xml:space="preserve">. </w:t>
      </w:r>
    </w:p>
    <w:p w:rsidR="00330A46" w:rsidRPr="00F42BE0" w:rsidRDefault="00330A46" w:rsidP="00330A46">
      <w:pPr>
        <w:jc w:val="both"/>
        <w:rPr>
          <w:sz w:val="22"/>
          <w:szCs w:val="22"/>
          <w:lang w:val="es-ES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b/>
          <w:bCs/>
          <w:sz w:val="22"/>
          <w:szCs w:val="22"/>
          <w:u w:val="single"/>
        </w:rPr>
        <w:t xml:space="preserve">Capítulo 4. - Transferencias </w:t>
      </w:r>
      <w:proofErr w:type="spellStart"/>
      <w:r w:rsidRPr="00F42BE0">
        <w:rPr>
          <w:b/>
          <w:bCs/>
          <w:sz w:val="22"/>
          <w:szCs w:val="22"/>
          <w:u w:val="single"/>
        </w:rPr>
        <w:t>Correntes</w:t>
      </w:r>
      <w:proofErr w:type="spellEnd"/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As </w:t>
      </w:r>
      <w:proofErr w:type="spellStart"/>
      <w:r w:rsidRPr="00F42BE0">
        <w:rPr>
          <w:sz w:val="22"/>
          <w:szCs w:val="22"/>
        </w:rPr>
        <w:t>obrigas</w:t>
      </w:r>
      <w:proofErr w:type="spellEnd"/>
      <w:r w:rsidRPr="00F42BE0">
        <w:rPr>
          <w:sz w:val="22"/>
          <w:szCs w:val="22"/>
        </w:rPr>
        <w:t xml:space="preserve"> están no 14,12   por 100, pero a </w:t>
      </w:r>
      <w:proofErr w:type="spellStart"/>
      <w:r w:rsidRPr="00F42BE0">
        <w:rPr>
          <w:sz w:val="22"/>
          <w:szCs w:val="22"/>
        </w:rPr>
        <w:t>maior</w:t>
      </w:r>
      <w:proofErr w:type="spellEnd"/>
      <w:r w:rsidRPr="00F42BE0">
        <w:rPr>
          <w:sz w:val="22"/>
          <w:szCs w:val="22"/>
        </w:rPr>
        <w:t xml:space="preserve"> parte das </w:t>
      </w:r>
      <w:proofErr w:type="spellStart"/>
      <w:r w:rsidRPr="00F42BE0">
        <w:rPr>
          <w:sz w:val="22"/>
          <w:szCs w:val="22"/>
        </w:rPr>
        <w:t>subvencións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foron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obxecto</w:t>
      </w:r>
      <w:proofErr w:type="spellEnd"/>
      <w:r w:rsidRPr="00F42BE0">
        <w:rPr>
          <w:sz w:val="22"/>
          <w:szCs w:val="22"/>
        </w:rPr>
        <w:t xml:space="preserve"> de convocatoria posterior, polo que a </w:t>
      </w:r>
      <w:proofErr w:type="spellStart"/>
      <w:r w:rsidRPr="00F42BE0">
        <w:rPr>
          <w:sz w:val="22"/>
          <w:szCs w:val="22"/>
        </w:rPr>
        <w:t>periodicidade</w:t>
      </w:r>
      <w:proofErr w:type="spellEnd"/>
      <w:r w:rsidRPr="00F42BE0">
        <w:rPr>
          <w:sz w:val="22"/>
          <w:szCs w:val="22"/>
        </w:rPr>
        <w:t xml:space="preserve"> non ten porque coincidir </w:t>
      </w:r>
      <w:proofErr w:type="spellStart"/>
      <w:r w:rsidRPr="00F42BE0">
        <w:rPr>
          <w:sz w:val="22"/>
          <w:szCs w:val="22"/>
        </w:rPr>
        <w:t>co</w:t>
      </w:r>
      <w:proofErr w:type="spellEnd"/>
      <w:r w:rsidRPr="00F42BE0">
        <w:rPr>
          <w:sz w:val="22"/>
          <w:szCs w:val="22"/>
        </w:rPr>
        <w:t xml:space="preserve"> 50 por 100 que </w:t>
      </w:r>
      <w:proofErr w:type="spellStart"/>
      <w:r w:rsidRPr="00F42BE0">
        <w:rPr>
          <w:sz w:val="22"/>
          <w:szCs w:val="22"/>
        </w:rPr>
        <w:t>podería</w:t>
      </w:r>
      <w:proofErr w:type="spellEnd"/>
      <w:r w:rsidRPr="00F42BE0">
        <w:rPr>
          <w:sz w:val="22"/>
          <w:szCs w:val="22"/>
        </w:rPr>
        <w:t xml:space="preserve"> parecer </w:t>
      </w:r>
      <w:proofErr w:type="spellStart"/>
      <w:r w:rsidRPr="00F42BE0">
        <w:rPr>
          <w:sz w:val="22"/>
          <w:szCs w:val="22"/>
        </w:rPr>
        <w:t>axeitado</w:t>
      </w:r>
      <w:proofErr w:type="spellEnd"/>
      <w:r w:rsidRPr="00F42BE0">
        <w:rPr>
          <w:sz w:val="22"/>
          <w:szCs w:val="22"/>
        </w:rPr>
        <w:t xml:space="preserve"> a 30 de </w:t>
      </w:r>
      <w:proofErr w:type="spellStart"/>
      <w:r w:rsidRPr="00F42BE0">
        <w:rPr>
          <w:sz w:val="22"/>
          <w:szCs w:val="22"/>
        </w:rPr>
        <w:t>xuño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b/>
          <w:bCs/>
          <w:sz w:val="22"/>
          <w:szCs w:val="22"/>
          <w:u w:val="single"/>
        </w:rPr>
        <w:t xml:space="preserve">Capítulo 6. - Investimentos </w:t>
      </w:r>
      <w:proofErr w:type="spellStart"/>
      <w:r w:rsidRPr="00F42BE0">
        <w:rPr>
          <w:b/>
          <w:bCs/>
          <w:sz w:val="22"/>
          <w:szCs w:val="22"/>
          <w:u w:val="single"/>
        </w:rPr>
        <w:t>Reais</w:t>
      </w:r>
      <w:proofErr w:type="spellEnd"/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Presenta un grao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bastante  </w:t>
      </w:r>
      <w:proofErr w:type="spellStart"/>
      <w:r w:rsidRPr="00F42BE0">
        <w:rPr>
          <w:sz w:val="22"/>
          <w:szCs w:val="22"/>
        </w:rPr>
        <w:t>baixo</w:t>
      </w:r>
      <w:proofErr w:type="spellEnd"/>
      <w:r w:rsidRPr="00F42BE0">
        <w:rPr>
          <w:sz w:val="22"/>
          <w:szCs w:val="22"/>
        </w:rPr>
        <w:t xml:space="preserve"> (17,16 %) a 30 de </w:t>
      </w:r>
      <w:proofErr w:type="spellStart"/>
      <w:r w:rsidRPr="00F42BE0">
        <w:rPr>
          <w:sz w:val="22"/>
          <w:szCs w:val="22"/>
        </w:rPr>
        <w:t>xuño</w:t>
      </w:r>
      <w:proofErr w:type="spellEnd"/>
      <w:r w:rsidRPr="00F42BE0">
        <w:rPr>
          <w:sz w:val="22"/>
          <w:szCs w:val="22"/>
        </w:rPr>
        <w:t xml:space="preserve"> de 2017. </w:t>
      </w:r>
    </w:p>
    <w:p w:rsidR="00330A46" w:rsidRPr="00F42BE0" w:rsidRDefault="00330A46" w:rsidP="00330A46">
      <w:pPr>
        <w:ind w:left="720"/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b/>
          <w:bCs/>
          <w:sz w:val="22"/>
          <w:szCs w:val="22"/>
          <w:u w:val="single"/>
        </w:rPr>
        <w:t>Capítulo 7. - Transferencias de Capital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As </w:t>
      </w:r>
      <w:proofErr w:type="spellStart"/>
      <w:r w:rsidRPr="00F42BE0">
        <w:rPr>
          <w:sz w:val="22"/>
          <w:szCs w:val="22"/>
        </w:rPr>
        <w:t>obrigas</w:t>
      </w:r>
      <w:proofErr w:type="spellEnd"/>
      <w:r w:rsidRPr="00F42BE0">
        <w:rPr>
          <w:sz w:val="22"/>
          <w:szCs w:val="22"/>
        </w:rPr>
        <w:t xml:space="preserve"> están no 4,26  por 100, pero a </w:t>
      </w:r>
      <w:proofErr w:type="spellStart"/>
      <w:r w:rsidRPr="00F42BE0">
        <w:rPr>
          <w:sz w:val="22"/>
          <w:szCs w:val="22"/>
        </w:rPr>
        <w:t>maior</w:t>
      </w:r>
      <w:proofErr w:type="spellEnd"/>
      <w:r w:rsidRPr="00F42BE0">
        <w:rPr>
          <w:sz w:val="22"/>
          <w:szCs w:val="22"/>
        </w:rPr>
        <w:t xml:space="preserve"> parte das </w:t>
      </w:r>
      <w:proofErr w:type="spellStart"/>
      <w:r w:rsidRPr="00F42BE0">
        <w:rPr>
          <w:sz w:val="22"/>
          <w:szCs w:val="22"/>
        </w:rPr>
        <w:t>subvencións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foron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obxecto</w:t>
      </w:r>
      <w:proofErr w:type="spellEnd"/>
      <w:r w:rsidRPr="00F42BE0">
        <w:rPr>
          <w:sz w:val="22"/>
          <w:szCs w:val="22"/>
        </w:rPr>
        <w:t xml:space="preserve"> de convocatoria posterior, polo que a </w:t>
      </w:r>
      <w:proofErr w:type="spellStart"/>
      <w:r w:rsidRPr="00F42BE0">
        <w:rPr>
          <w:sz w:val="22"/>
          <w:szCs w:val="22"/>
        </w:rPr>
        <w:t>periodicidade</w:t>
      </w:r>
      <w:proofErr w:type="spellEnd"/>
      <w:r w:rsidRPr="00F42BE0">
        <w:rPr>
          <w:sz w:val="22"/>
          <w:szCs w:val="22"/>
        </w:rPr>
        <w:t xml:space="preserve"> non ten porque coincidir </w:t>
      </w:r>
      <w:proofErr w:type="spellStart"/>
      <w:r w:rsidRPr="00F42BE0">
        <w:rPr>
          <w:sz w:val="22"/>
          <w:szCs w:val="22"/>
        </w:rPr>
        <w:t>co</w:t>
      </w:r>
      <w:proofErr w:type="spellEnd"/>
      <w:r w:rsidRPr="00F42BE0">
        <w:rPr>
          <w:sz w:val="22"/>
          <w:szCs w:val="22"/>
        </w:rPr>
        <w:t xml:space="preserve"> 50 por 100 que </w:t>
      </w:r>
      <w:proofErr w:type="spellStart"/>
      <w:r w:rsidRPr="00F42BE0">
        <w:rPr>
          <w:sz w:val="22"/>
          <w:szCs w:val="22"/>
        </w:rPr>
        <w:t>podería</w:t>
      </w:r>
      <w:proofErr w:type="spellEnd"/>
      <w:r w:rsidRPr="00F42BE0">
        <w:rPr>
          <w:sz w:val="22"/>
          <w:szCs w:val="22"/>
        </w:rPr>
        <w:t xml:space="preserve"> parecer </w:t>
      </w:r>
      <w:proofErr w:type="spellStart"/>
      <w:r w:rsidRPr="00F42BE0">
        <w:rPr>
          <w:sz w:val="22"/>
          <w:szCs w:val="22"/>
        </w:rPr>
        <w:t>axeitado</w:t>
      </w:r>
      <w:proofErr w:type="spellEnd"/>
      <w:r w:rsidRPr="00F42BE0">
        <w:rPr>
          <w:sz w:val="22"/>
          <w:szCs w:val="22"/>
        </w:rPr>
        <w:t xml:space="preserve"> a 30 de </w:t>
      </w:r>
      <w:proofErr w:type="spellStart"/>
      <w:r w:rsidRPr="00F42BE0">
        <w:rPr>
          <w:sz w:val="22"/>
          <w:szCs w:val="22"/>
        </w:rPr>
        <w:t>xuño</w:t>
      </w:r>
      <w:proofErr w:type="spellEnd"/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sz w:val="22"/>
          <w:szCs w:val="22"/>
        </w:rPr>
        <w:tab/>
      </w:r>
      <w:r w:rsidRPr="00F42BE0">
        <w:rPr>
          <w:b/>
          <w:bCs/>
          <w:sz w:val="22"/>
          <w:szCs w:val="22"/>
          <w:u w:val="single"/>
        </w:rPr>
        <w:t>B. INGRESOS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ind w:firstLine="720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Respecto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Estado de Ingresos, a </w:t>
      </w:r>
      <w:proofErr w:type="spellStart"/>
      <w:r w:rsidRPr="00F42BE0">
        <w:rPr>
          <w:sz w:val="22"/>
          <w:szCs w:val="22"/>
        </w:rPr>
        <w:t>análise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vaise</w:t>
      </w:r>
      <w:proofErr w:type="spellEnd"/>
      <w:r w:rsidRPr="00F42BE0">
        <w:rPr>
          <w:sz w:val="22"/>
          <w:szCs w:val="22"/>
        </w:rPr>
        <w:t xml:space="preserve"> realizar </w:t>
      </w:r>
      <w:proofErr w:type="spellStart"/>
      <w:r w:rsidRPr="00F42BE0">
        <w:rPr>
          <w:sz w:val="22"/>
          <w:szCs w:val="22"/>
        </w:rPr>
        <w:t>tamén</w:t>
      </w:r>
      <w:proofErr w:type="spellEnd"/>
      <w:r w:rsidRPr="00F42BE0">
        <w:rPr>
          <w:sz w:val="22"/>
          <w:szCs w:val="22"/>
        </w:rPr>
        <w:t xml:space="preserve"> por Capítulos, e respecto á </w:t>
      </w:r>
      <w:proofErr w:type="spellStart"/>
      <w:r w:rsidRPr="00F42BE0">
        <w:rPr>
          <w:sz w:val="22"/>
          <w:szCs w:val="22"/>
        </w:rPr>
        <w:t>magnitude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Dereitos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Recoñecidos</w:t>
      </w:r>
      <w:proofErr w:type="spellEnd"/>
      <w:r w:rsidRPr="00F42BE0">
        <w:rPr>
          <w:sz w:val="22"/>
          <w:szCs w:val="22"/>
        </w:rPr>
        <w:t xml:space="preserve">, </w:t>
      </w:r>
      <w:proofErr w:type="spellStart"/>
      <w:r w:rsidRPr="00F42BE0">
        <w:rPr>
          <w:sz w:val="22"/>
          <w:szCs w:val="22"/>
        </w:rPr>
        <w:t>aínda</w:t>
      </w:r>
      <w:proofErr w:type="spellEnd"/>
      <w:r w:rsidRPr="00F42BE0">
        <w:rPr>
          <w:sz w:val="22"/>
          <w:szCs w:val="22"/>
        </w:rPr>
        <w:t xml:space="preserve"> que, como </w:t>
      </w:r>
      <w:r w:rsidRPr="00F42BE0">
        <w:rPr>
          <w:sz w:val="22"/>
          <w:szCs w:val="22"/>
          <w:u w:val="single"/>
        </w:rPr>
        <w:t>advertencia previa</w:t>
      </w:r>
      <w:r w:rsidRPr="00F42BE0">
        <w:rPr>
          <w:sz w:val="22"/>
          <w:szCs w:val="22"/>
        </w:rPr>
        <w:t xml:space="preserve">, se debe recordar que en determinados capítulos, especialmente os capítulos 1 e 3, os estados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non </w:t>
      </w:r>
      <w:proofErr w:type="spellStart"/>
      <w:r w:rsidRPr="00F42BE0">
        <w:rPr>
          <w:sz w:val="22"/>
          <w:szCs w:val="22"/>
        </w:rPr>
        <w:t>teñen</w:t>
      </w:r>
      <w:proofErr w:type="spellEnd"/>
      <w:r w:rsidRPr="00F42BE0">
        <w:rPr>
          <w:sz w:val="22"/>
          <w:szCs w:val="22"/>
        </w:rPr>
        <w:t xml:space="preserve"> que </w:t>
      </w:r>
      <w:proofErr w:type="spellStart"/>
      <w:r w:rsidRPr="00F42BE0">
        <w:rPr>
          <w:sz w:val="22"/>
          <w:szCs w:val="22"/>
        </w:rPr>
        <w:t>gardar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unha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proporcionalidade</w:t>
      </w:r>
      <w:proofErr w:type="spellEnd"/>
      <w:r w:rsidRPr="00F42BE0">
        <w:rPr>
          <w:sz w:val="22"/>
          <w:szCs w:val="22"/>
        </w:rPr>
        <w:t xml:space="preserve"> en relación coa data natural do ano, </w:t>
      </w:r>
      <w:proofErr w:type="spellStart"/>
      <w:r w:rsidRPr="00F42BE0">
        <w:rPr>
          <w:sz w:val="22"/>
          <w:szCs w:val="22"/>
        </w:rPr>
        <w:t>dependendo</w:t>
      </w:r>
      <w:proofErr w:type="spellEnd"/>
      <w:r w:rsidRPr="00F42BE0">
        <w:rPr>
          <w:sz w:val="22"/>
          <w:szCs w:val="22"/>
        </w:rPr>
        <w:t xml:space="preserve"> en cada caso do momento en que se </w:t>
      </w:r>
      <w:proofErr w:type="spellStart"/>
      <w:r w:rsidRPr="00F42BE0">
        <w:rPr>
          <w:sz w:val="22"/>
          <w:szCs w:val="22"/>
        </w:rPr>
        <w:t>poñan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cobramento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ou</w:t>
      </w:r>
      <w:proofErr w:type="spellEnd"/>
      <w:r w:rsidRPr="00F42BE0">
        <w:rPr>
          <w:sz w:val="22"/>
          <w:szCs w:val="22"/>
        </w:rPr>
        <w:t xml:space="preserve"> se elaboren as respectivas listas cobratorias de recibos, e que a </w:t>
      </w:r>
      <w:proofErr w:type="spellStart"/>
      <w:r w:rsidRPr="00F42BE0">
        <w:rPr>
          <w:sz w:val="22"/>
          <w:szCs w:val="22"/>
        </w:rPr>
        <w:t>Deputación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fai</w:t>
      </w:r>
      <w:proofErr w:type="spellEnd"/>
      <w:r w:rsidRPr="00F42BE0">
        <w:rPr>
          <w:sz w:val="22"/>
          <w:szCs w:val="22"/>
        </w:rPr>
        <w:t xml:space="preserve"> entregas e </w:t>
      </w:r>
      <w:proofErr w:type="spellStart"/>
      <w:r w:rsidRPr="00F42BE0">
        <w:rPr>
          <w:sz w:val="22"/>
          <w:szCs w:val="22"/>
        </w:rPr>
        <w:t>conta</w:t>
      </w:r>
      <w:proofErr w:type="spellEnd"/>
      <w:r w:rsidRPr="00F42BE0">
        <w:rPr>
          <w:sz w:val="22"/>
          <w:szCs w:val="22"/>
        </w:rPr>
        <w:t xml:space="preserve"> e posteriormente emite </w:t>
      </w:r>
      <w:proofErr w:type="spellStart"/>
      <w:r w:rsidRPr="00F42BE0">
        <w:rPr>
          <w:sz w:val="22"/>
          <w:szCs w:val="22"/>
        </w:rPr>
        <w:t>liquidacións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polas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diferenzas</w:t>
      </w:r>
      <w:proofErr w:type="spellEnd"/>
      <w:r w:rsidRPr="00F42BE0">
        <w:rPr>
          <w:sz w:val="22"/>
          <w:szCs w:val="22"/>
        </w:rPr>
        <w:t xml:space="preserve">. </w:t>
      </w:r>
    </w:p>
    <w:p w:rsidR="00330A46" w:rsidRPr="00F42BE0" w:rsidRDefault="00330A46" w:rsidP="00330A46">
      <w:pPr>
        <w:ind w:firstLine="720"/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sz w:val="22"/>
          <w:szCs w:val="22"/>
        </w:rPr>
        <w:tab/>
      </w:r>
      <w:r w:rsidRPr="00F42BE0">
        <w:rPr>
          <w:b/>
          <w:bCs/>
          <w:sz w:val="22"/>
          <w:szCs w:val="22"/>
          <w:u w:val="single"/>
        </w:rPr>
        <w:t xml:space="preserve">Capítulo I.- </w:t>
      </w:r>
      <w:proofErr w:type="spellStart"/>
      <w:r w:rsidRPr="00F42BE0">
        <w:rPr>
          <w:b/>
          <w:bCs/>
          <w:sz w:val="22"/>
          <w:szCs w:val="22"/>
          <w:u w:val="single"/>
        </w:rPr>
        <w:t>Impostos</w:t>
      </w:r>
      <w:proofErr w:type="spellEnd"/>
      <w:r w:rsidRPr="00F42BE0">
        <w:rPr>
          <w:b/>
          <w:bCs/>
          <w:sz w:val="22"/>
          <w:szCs w:val="22"/>
          <w:u w:val="single"/>
        </w:rPr>
        <w:t xml:space="preserve"> Directos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</w:r>
      <w:proofErr w:type="spellStart"/>
      <w:r w:rsidRPr="00F42BE0">
        <w:rPr>
          <w:sz w:val="22"/>
          <w:szCs w:val="22"/>
        </w:rPr>
        <w:t>Neste</w:t>
      </w:r>
      <w:proofErr w:type="spellEnd"/>
      <w:r w:rsidRPr="00F42BE0">
        <w:rPr>
          <w:sz w:val="22"/>
          <w:szCs w:val="22"/>
        </w:rPr>
        <w:t xml:space="preserve"> Capítulo, no que se </w:t>
      </w:r>
      <w:proofErr w:type="spellStart"/>
      <w:r w:rsidRPr="00F42BE0">
        <w:rPr>
          <w:sz w:val="22"/>
          <w:szCs w:val="22"/>
        </w:rPr>
        <w:t>inclúen</w:t>
      </w:r>
      <w:proofErr w:type="spellEnd"/>
      <w:r w:rsidRPr="00F42BE0">
        <w:rPr>
          <w:sz w:val="22"/>
          <w:szCs w:val="22"/>
        </w:rPr>
        <w:t xml:space="preserve"> boa parte dos ingresos </w:t>
      </w:r>
      <w:proofErr w:type="spellStart"/>
      <w:r w:rsidRPr="00F42BE0">
        <w:rPr>
          <w:sz w:val="22"/>
          <w:szCs w:val="22"/>
        </w:rPr>
        <w:t>máis</w:t>
      </w:r>
      <w:proofErr w:type="spellEnd"/>
      <w:r w:rsidRPr="00F42BE0">
        <w:rPr>
          <w:sz w:val="22"/>
          <w:szCs w:val="22"/>
        </w:rPr>
        <w:t xml:space="preserve"> importantes </w:t>
      </w:r>
      <w:proofErr w:type="spellStart"/>
      <w:r w:rsidRPr="00F42BE0">
        <w:rPr>
          <w:sz w:val="22"/>
          <w:szCs w:val="22"/>
        </w:rPr>
        <w:t>municipais</w:t>
      </w:r>
      <w:proofErr w:type="spellEnd"/>
      <w:r w:rsidRPr="00F42BE0">
        <w:rPr>
          <w:sz w:val="22"/>
          <w:szCs w:val="22"/>
        </w:rPr>
        <w:t xml:space="preserve"> (IBI, Vehículos, IAE e IIVTNU), presenta un estado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lixeiramente</w:t>
      </w:r>
      <w:proofErr w:type="spellEnd"/>
      <w:r w:rsidRPr="00F42BE0">
        <w:rPr>
          <w:sz w:val="22"/>
          <w:szCs w:val="22"/>
        </w:rPr>
        <w:t xml:space="preserve"> inferior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previsto na data de elaboración do presente informe (47,58 %). No desglose por </w:t>
      </w:r>
      <w:proofErr w:type="spellStart"/>
      <w:r w:rsidRPr="00F42BE0">
        <w:rPr>
          <w:sz w:val="22"/>
          <w:szCs w:val="22"/>
        </w:rPr>
        <w:t>aplicacións</w:t>
      </w:r>
      <w:proofErr w:type="spellEnd"/>
      <w:r w:rsidRPr="00F42BE0">
        <w:rPr>
          <w:sz w:val="22"/>
          <w:szCs w:val="22"/>
        </w:rPr>
        <w:t xml:space="preserve"> que se </w:t>
      </w:r>
      <w:proofErr w:type="spellStart"/>
      <w:r w:rsidRPr="00F42BE0">
        <w:rPr>
          <w:sz w:val="22"/>
          <w:szCs w:val="22"/>
        </w:rPr>
        <w:t>achega</w:t>
      </w:r>
      <w:proofErr w:type="spellEnd"/>
      <w:r w:rsidRPr="00F42BE0">
        <w:rPr>
          <w:sz w:val="22"/>
          <w:szCs w:val="22"/>
        </w:rPr>
        <w:t xml:space="preserve"> pode apreciarse o estado por cada un dos ingresos, no que destaca negativamente o  IIVTNU (Plusvalía) </w:t>
      </w:r>
      <w:proofErr w:type="spellStart"/>
      <w:r w:rsidRPr="00F42BE0">
        <w:rPr>
          <w:sz w:val="22"/>
          <w:szCs w:val="22"/>
        </w:rPr>
        <w:t>cun</w:t>
      </w:r>
      <w:proofErr w:type="spellEnd"/>
      <w:r w:rsidRPr="00F42BE0">
        <w:rPr>
          <w:sz w:val="22"/>
          <w:szCs w:val="22"/>
        </w:rPr>
        <w:t xml:space="preserve"> 27,20 % de DRN sobre </w:t>
      </w:r>
      <w:proofErr w:type="spellStart"/>
      <w:r w:rsidRPr="00F42BE0">
        <w:rPr>
          <w:sz w:val="22"/>
          <w:szCs w:val="22"/>
        </w:rPr>
        <w:t>previsións</w:t>
      </w:r>
      <w:proofErr w:type="spellEnd"/>
      <w:r w:rsidRPr="00F42BE0">
        <w:rPr>
          <w:sz w:val="22"/>
          <w:szCs w:val="22"/>
        </w:rPr>
        <w:t xml:space="preserve"> definitivas.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sz w:val="22"/>
          <w:szCs w:val="22"/>
        </w:rPr>
        <w:tab/>
      </w:r>
      <w:r w:rsidRPr="00F42BE0">
        <w:rPr>
          <w:b/>
          <w:bCs/>
          <w:sz w:val="22"/>
          <w:szCs w:val="22"/>
          <w:u w:val="single"/>
        </w:rPr>
        <w:t xml:space="preserve">Capítulo II.- </w:t>
      </w:r>
      <w:proofErr w:type="spellStart"/>
      <w:r w:rsidRPr="00F42BE0">
        <w:rPr>
          <w:b/>
          <w:bCs/>
          <w:sz w:val="22"/>
          <w:szCs w:val="22"/>
          <w:u w:val="single"/>
        </w:rPr>
        <w:t>Impostos</w:t>
      </w:r>
      <w:proofErr w:type="spellEnd"/>
      <w:r w:rsidRPr="00F42BE0">
        <w:rPr>
          <w:b/>
          <w:bCs/>
          <w:sz w:val="22"/>
          <w:szCs w:val="22"/>
          <w:u w:val="single"/>
        </w:rPr>
        <w:t xml:space="preserve"> Indirectos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</w:r>
      <w:proofErr w:type="spellStart"/>
      <w:r w:rsidRPr="00F42BE0">
        <w:rPr>
          <w:sz w:val="22"/>
          <w:szCs w:val="22"/>
        </w:rPr>
        <w:t>Neste</w:t>
      </w:r>
      <w:proofErr w:type="spellEnd"/>
      <w:r w:rsidRPr="00F42BE0">
        <w:rPr>
          <w:sz w:val="22"/>
          <w:szCs w:val="22"/>
        </w:rPr>
        <w:t xml:space="preserve"> Capítulo </w:t>
      </w:r>
      <w:proofErr w:type="spellStart"/>
      <w:r w:rsidRPr="00F42BE0">
        <w:rPr>
          <w:sz w:val="22"/>
          <w:szCs w:val="22"/>
        </w:rPr>
        <w:t>unicamente</w:t>
      </w:r>
      <w:proofErr w:type="spellEnd"/>
      <w:r w:rsidRPr="00F42BE0">
        <w:rPr>
          <w:sz w:val="22"/>
          <w:szCs w:val="22"/>
        </w:rPr>
        <w:t xml:space="preserve"> se contabiliza o Imposto sobre </w:t>
      </w:r>
      <w:proofErr w:type="spellStart"/>
      <w:r w:rsidRPr="00F42BE0">
        <w:rPr>
          <w:sz w:val="22"/>
          <w:szCs w:val="22"/>
        </w:rPr>
        <w:t>Construcións</w:t>
      </w:r>
      <w:proofErr w:type="spellEnd"/>
      <w:r w:rsidRPr="00F42BE0">
        <w:rPr>
          <w:sz w:val="22"/>
          <w:szCs w:val="22"/>
        </w:rPr>
        <w:t xml:space="preserve">, o cal presenta un grao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bastante superior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previsto (123,80</w:t>
      </w:r>
      <w:r w:rsidRPr="00F42BE0">
        <w:rPr>
          <w:color w:val="000000"/>
          <w:sz w:val="22"/>
          <w:szCs w:val="22"/>
          <w:lang w:val="es-ES"/>
        </w:rPr>
        <w:t xml:space="preserve"> </w:t>
      </w:r>
      <w:r w:rsidRPr="00F42BE0">
        <w:rPr>
          <w:sz w:val="22"/>
          <w:szCs w:val="22"/>
        </w:rPr>
        <w:t xml:space="preserve">%) </w:t>
      </w:r>
      <w:proofErr w:type="spellStart"/>
      <w:r w:rsidRPr="00F42BE0">
        <w:rPr>
          <w:sz w:val="22"/>
          <w:szCs w:val="22"/>
        </w:rPr>
        <w:t>xa</w:t>
      </w:r>
      <w:proofErr w:type="spellEnd"/>
      <w:r w:rsidRPr="00F42BE0">
        <w:rPr>
          <w:sz w:val="22"/>
          <w:szCs w:val="22"/>
        </w:rPr>
        <w:t xml:space="preserve"> no </w:t>
      </w:r>
      <w:proofErr w:type="spellStart"/>
      <w:r w:rsidRPr="00F42BE0">
        <w:rPr>
          <w:sz w:val="22"/>
          <w:szCs w:val="22"/>
        </w:rPr>
        <w:t>primeiro</w:t>
      </w:r>
      <w:proofErr w:type="spellEnd"/>
      <w:r w:rsidRPr="00F42BE0">
        <w:rPr>
          <w:sz w:val="22"/>
          <w:szCs w:val="22"/>
        </w:rPr>
        <w:t xml:space="preserve"> semestre.  Agás que se liquiden obras de elevado importe no </w:t>
      </w:r>
      <w:proofErr w:type="spellStart"/>
      <w:r w:rsidRPr="00F42BE0">
        <w:rPr>
          <w:sz w:val="22"/>
          <w:szCs w:val="22"/>
        </w:rPr>
        <w:t>derradeiro</w:t>
      </w:r>
      <w:proofErr w:type="spellEnd"/>
      <w:r w:rsidRPr="00F42BE0">
        <w:rPr>
          <w:sz w:val="22"/>
          <w:szCs w:val="22"/>
        </w:rPr>
        <w:t xml:space="preserve"> trimestre, non  se prevé que a  </w:t>
      </w:r>
      <w:proofErr w:type="spellStart"/>
      <w:r w:rsidRPr="00F42BE0">
        <w:rPr>
          <w:sz w:val="22"/>
          <w:szCs w:val="22"/>
        </w:rPr>
        <w:t>recadación</w:t>
      </w:r>
      <w:proofErr w:type="spellEnd"/>
      <w:r w:rsidRPr="00F42BE0">
        <w:rPr>
          <w:sz w:val="22"/>
          <w:szCs w:val="22"/>
        </w:rPr>
        <w:t xml:space="preserve"> alcance o  previsto inicialmente.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sz w:val="22"/>
          <w:szCs w:val="22"/>
        </w:rPr>
        <w:tab/>
      </w:r>
      <w:r w:rsidRPr="00F42BE0">
        <w:rPr>
          <w:b/>
          <w:bCs/>
          <w:sz w:val="22"/>
          <w:szCs w:val="22"/>
          <w:u w:val="single"/>
        </w:rPr>
        <w:t xml:space="preserve">Capítulo III.- </w:t>
      </w:r>
      <w:proofErr w:type="spellStart"/>
      <w:r w:rsidRPr="00F42BE0">
        <w:rPr>
          <w:b/>
          <w:bCs/>
          <w:sz w:val="22"/>
          <w:szCs w:val="22"/>
          <w:u w:val="single"/>
        </w:rPr>
        <w:t>Taxas</w:t>
      </w:r>
      <w:proofErr w:type="spellEnd"/>
      <w:r w:rsidRPr="00F42BE0">
        <w:rPr>
          <w:b/>
          <w:bCs/>
          <w:sz w:val="22"/>
          <w:szCs w:val="22"/>
          <w:u w:val="single"/>
        </w:rPr>
        <w:t xml:space="preserve"> e Otros Ingresos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pStyle w:val="Textoindependiente2"/>
        <w:spacing w:line="240" w:lineRule="auto"/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  <w:t xml:space="preserve">O estado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deste</w:t>
      </w:r>
      <w:proofErr w:type="spellEnd"/>
      <w:r w:rsidRPr="00F42BE0">
        <w:rPr>
          <w:sz w:val="22"/>
          <w:szCs w:val="22"/>
        </w:rPr>
        <w:t xml:space="preserve"> Capítulo, ofrece un </w:t>
      </w:r>
      <w:proofErr w:type="spellStart"/>
      <w:r w:rsidRPr="00F42BE0">
        <w:rPr>
          <w:sz w:val="22"/>
          <w:szCs w:val="22"/>
        </w:rPr>
        <w:t>porcentaxe</w:t>
      </w:r>
      <w:proofErr w:type="spellEnd"/>
      <w:r w:rsidRPr="00F42BE0">
        <w:rPr>
          <w:sz w:val="22"/>
          <w:szCs w:val="22"/>
        </w:rPr>
        <w:t xml:space="preserve"> do 65,25 % en </w:t>
      </w:r>
      <w:proofErr w:type="spellStart"/>
      <w:r w:rsidRPr="00F42BE0">
        <w:rPr>
          <w:sz w:val="22"/>
          <w:szCs w:val="22"/>
        </w:rPr>
        <w:t>dereitos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recoñecidos</w:t>
      </w:r>
      <w:proofErr w:type="spellEnd"/>
      <w:r w:rsidRPr="00F42BE0">
        <w:rPr>
          <w:sz w:val="22"/>
          <w:szCs w:val="22"/>
        </w:rPr>
        <w:t xml:space="preserve"> sobre </w:t>
      </w:r>
      <w:proofErr w:type="spellStart"/>
      <w:r w:rsidRPr="00F42BE0">
        <w:rPr>
          <w:sz w:val="22"/>
          <w:szCs w:val="22"/>
        </w:rPr>
        <w:t>previsións</w:t>
      </w:r>
      <w:proofErr w:type="spellEnd"/>
      <w:r w:rsidRPr="00F42BE0">
        <w:rPr>
          <w:sz w:val="22"/>
          <w:szCs w:val="22"/>
        </w:rPr>
        <w:t xml:space="preserve"> definitivas, </w:t>
      </w:r>
      <w:proofErr w:type="spellStart"/>
      <w:r w:rsidRPr="00F42BE0">
        <w:rPr>
          <w:sz w:val="22"/>
          <w:szCs w:val="22"/>
        </w:rPr>
        <w:t>achegandose</w:t>
      </w:r>
      <w:proofErr w:type="spellEnd"/>
      <w:r w:rsidRPr="00F42BE0">
        <w:rPr>
          <w:sz w:val="22"/>
          <w:szCs w:val="22"/>
        </w:rPr>
        <w:t xml:space="preserve"> un desglose nos estados  anexos. Destaca sobre as </w:t>
      </w:r>
      <w:proofErr w:type="spellStart"/>
      <w:r w:rsidRPr="00F42BE0">
        <w:rPr>
          <w:sz w:val="22"/>
          <w:szCs w:val="22"/>
        </w:rPr>
        <w:t>demáis</w:t>
      </w:r>
      <w:proofErr w:type="spellEnd"/>
      <w:r w:rsidRPr="00F42BE0">
        <w:rPr>
          <w:sz w:val="22"/>
          <w:szCs w:val="22"/>
        </w:rPr>
        <w:t xml:space="preserve"> os 98.438,24 € recaudados na aplicación 332.00 (</w:t>
      </w:r>
      <w:proofErr w:type="spellStart"/>
      <w:r w:rsidRPr="00F42BE0">
        <w:rPr>
          <w:sz w:val="22"/>
          <w:szCs w:val="22"/>
        </w:rPr>
        <w:t>Taxa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subministradoras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servizos</w:t>
      </w:r>
      <w:proofErr w:type="spellEnd"/>
      <w:r w:rsidRPr="00F42BE0">
        <w:rPr>
          <w:sz w:val="22"/>
          <w:szCs w:val="22"/>
        </w:rPr>
        <w:t xml:space="preserve">, que na </w:t>
      </w:r>
      <w:proofErr w:type="spellStart"/>
      <w:r w:rsidRPr="00F42BE0">
        <w:rPr>
          <w:sz w:val="22"/>
          <w:szCs w:val="22"/>
        </w:rPr>
        <w:t>maior</w:t>
      </w:r>
      <w:proofErr w:type="spellEnd"/>
      <w:r w:rsidRPr="00F42BE0">
        <w:rPr>
          <w:sz w:val="22"/>
          <w:szCs w:val="22"/>
        </w:rPr>
        <w:t xml:space="preserve"> parte </w:t>
      </w:r>
      <w:proofErr w:type="spellStart"/>
      <w:r w:rsidRPr="00F42BE0">
        <w:rPr>
          <w:sz w:val="22"/>
          <w:szCs w:val="22"/>
        </w:rPr>
        <w:t>veñen</w:t>
      </w:r>
      <w:proofErr w:type="spellEnd"/>
      <w:r w:rsidRPr="00F42BE0">
        <w:rPr>
          <w:sz w:val="22"/>
          <w:szCs w:val="22"/>
        </w:rPr>
        <w:t xml:space="preserve"> por un ingreso extraordinario da  Liquidación definitiva de 2016  por 89.629,73 € polo que é </w:t>
      </w:r>
      <w:proofErr w:type="spellStart"/>
      <w:r w:rsidRPr="00F42BE0">
        <w:rPr>
          <w:sz w:val="22"/>
          <w:szCs w:val="22"/>
        </w:rPr>
        <w:t>coxuntural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pStyle w:val="Textoindependiente2"/>
        <w:spacing w:line="240" w:lineRule="auto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sz w:val="22"/>
          <w:szCs w:val="22"/>
        </w:rPr>
        <w:tab/>
      </w:r>
      <w:r w:rsidRPr="00F42BE0">
        <w:rPr>
          <w:b/>
          <w:bCs/>
          <w:sz w:val="22"/>
          <w:szCs w:val="22"/>
          <w:u w:val="single"/>
        </w:rPr>
        <w:t xml:space="preserve">Capítulo IV.- Transferencias </w:t>
      </w:r>
      <w:proofErr w:type="spellStart"/>
      <w:r w:rsidRPr="00F42BE0">
        <w:rPr>
          <w:b/>
          <w:bCs/>
          <w:sz w:val="22"/>
          <w:szCs w:val="22"/>
          <w:u w:val="single"/>
        </w:rPr>
        <w:t>Correntes</w:t>
      </w:r>
      <w:proofErr w:type="spellEnd"/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  <w:t xml:space="preserve">O estado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deste</w:t>
      </w:r>
      <w:proofErr w:type="spellEnd"/>
      <w:r w:rsidRPr="00F42BE0">
        <w:rPr>
          <w:sz w:val="22"/>
          <w:szCs w:val="22"/>
        </w:rPr>
        <w:t xml:space="preserve"> Capítulo ten un nivel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do 42,82% </w:t>
      </w:r>
      <w:proofErr w:type="spellStart"/>
      <w:r w:rsidRPr="00F42BE0">
        <w:rPr>
          <w:sz w:val="22"/>
          <w:szCs w:val="22"/>
        </w:rPr>
        <w:t>lixeiramente</w:t>
      </w:r>
      <w:proofErr w:type="spellEnd"/>
      <w:r w:rsidRPr="00F42BE0">
        <w:rPr>
          <w:sz w:val="22"/>
          <w:szCs w:val="22"/>
        </w:rPr>
        <w:t xml:space="preserve"> inferior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previsto.</w:t>
      </w:r>
    </w:p>
    <w:p w:rsidR="00330A46" w:rsidRPr="00F42BE0" w:rsidRDefault="00330A46" w:rsidP="00330A46">
      <w:pPr>
        <w:jc w:val="both"/>
        <w:rPr>
          <w:sz w:val="22"/>
          <w:szCs w:val="22"/>
          <w:highlight w:val="yellow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sz w:val="22"/>
          <w:szCs w:val="22"/>
        </w:rPr>
        <w:tab/>
      </w:r>
      <w:r w:rsidRPr="00F42BE0">
        <w:rPr>
          <w:b/>
          <w:bCs/>
          <w:sz w:val="22"/>
          <w:szCs w:val="22"/>
          <w:u w:val="single"/>
        </w:rPr>
        <w:t xml:space="preserve">Capítulo V. - Ingresos </w:t>
      </w:r>
      <w:proofErr w:type="spellStart"/>
      <w:r w:rsidRPr="00F42BE0">
        <w:rPr>
          <w:b/>
          <w:bCs/>
          <w:sz w:val="22"/>
          <w:szCs w:val="22"/>
          <w:u w:val="single"/>
        </w:rPr>
        <w:t>Patrimoniais</w:t>
      </w:r>
      <w:proofErr w:type="spellEnd"/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  <w:t xml:space="preserve">O estado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deste</w:t>
      </w:r>
      <w:proofErr w:type="spellEnd"/>
      <w:r w:rsidRPr="00F42BE0">
        <w:rPr>
          <w:sz w:val="22"/>
          <w:szCs w:val="22"/>
        </w:rPr>
        <w:t xml:space="preserve"> Capítulo </w:t>
      </w:r>
      <w:proofErr w:type="spellStart"/>
      <w:r w:rsidRPr="00F42BE0">
        <w:rPr>
          <w:sz w:val="22"/>
          <w:szCs w:val="22"/>
        </w:rPr>
        <w:t>sitúase</w:t>
      </w:r>
      <w:proofErr w:type="spellEnd"/>
      <w:r w:rsidRPr="00F42BE0">
        <w:rPr>
          <w:sz w:val="22"/>
          <w:szCs w:val="22"/>
        </w:rPr>
        <w:t xml:space="preserve"> en torno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2,20%  </w:t>
      </w:r>
      <w:proofErr w:type="spellStart"/>
      <w:r w:rsidRPr="00F42BE0">
        <w:rPr>
          <w:sz w:val="22"/>
          <w:szCs w:val="22"/>
        </w:rPr>
        <w:t>moi</w:t>
      </w:r>
      <w:proofErr w:type="spellEnd"/>
      <w:r w:rsidRPr="00F42BE0">
        <w:rPr>
          <w:sz w:val="22"/>
          <w:szCs w:val="22"/>
        </w:rPr>
        <w:t xml:space="preserve"> inferior </w:t>
      </w:r>
      <w:proofErr w:type="spellStart"/>
      <w:r w:rsidRPr="00F42BE0">
        <w:rPr>
          <w:sz w:val="22"/>
          <w:szCs w:val="22"/>
        </w:rPr>
        <w:t>pola</w:t>
      </w:r>
      <w:proofErr w:type="spellEnd"/>
      <w:r w:rsidRPr="00F42BE0">
        <w:rPr>
          <w:sz w:val="22"/>
          <w:szCs w:val="22"/>
        </w:rPr>
        <w:t xml:space="preserve"> falta de ingreso dos parques eólicos que estaba </w:t>
      </w:r>
      <w:proofErr w:type="spellStart"/>
      <w:r w:rsidRPr="00F42BE0">
        <w:rPr>
          <w:sz w:val="22"/>
          <w:szCs w:val="22"/>
        </w:rPr>
        <w:t>pendente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sentenza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xudicial</w:t>
      </w:r>
      <w:proofErr w:type="spellEnd"/>
      <w:r w:rsidRPr="00F42BE0">
        <w:rPr>
          <w:sz w:val="22"/>
          <w:szCs w:val="22"/>
        </w:rPr>
        <w:t xml:space="preserve">, cando menos polo Parque Eólico A </w:t>
      </w:r>
      <w:proofErr w:type="spellStart"/>
      <w:r w:rsidRPr="00F42BE0">
        <w:rPr>
          <w:sz w:val="22"/>
          <w:szCs w:val="22"/>
        </w:rPr>
        <w:t>Capelada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jc w:val="both"/>
        <w:rPr>
          <w:sz w:val="22"/>
          <w:szCs w:val="22"/>
          <w:highlight w:val="yellow"/>
        </w:rPr>
      </w:pPr>
    </w:p>
    <w:p w:rsidR="00330A46" w:rsidRPr="00F42BE0" w:rsidRDefault="00330A46" w:rsidP="00330A46">
      <w:pPr>
        <w:ind w:firstLine="708"/>
        <w:jc w:val="both"/>
        <w:rPr>
          <w:b/>
          <w:bCs/>
          <w:sz w:val="22"/>
          <w:szCs w:val="22"/>
          <w:u w:val="single"/>
        </w:rPr>
      </w:pPr>
      <w:r w:rsidRPr="00F42BE0">
        <w:rPr>
          <w:b/>
          <w:bCs/>
          <w:sz w:val="22"/>
          <w:szCs w:val="22"/>
          <w:u w:val="single"/>
        </w:rPr>
        <w:t xml:space="preserve">Capítulos VI - Alienación de Investimentos </w:t>
      </w:r>
      <w:proofErr w:type="spellStart"/>
      <w:r w:rsidRPr="00F42BE0">
        <w:rPr>
          <w:b/>
          <w:bCs/>
          <w:sz w:val="22"/>
          <w:szCs w:val="22"/>
          <w:u w:val="single"/>
        </w:rPr>
        <w:t>Reais</w:t>
      </w:r>
      <w:proofErr w:type="spellEnd"/>
      <w:r w:rsidRPr="00F42BE0">
        <w:rPr>
          <w:b/>
          <w:bCs/>
          <w:sz w:val="22"/>
          <w:szCs w:val="22"/>
          <w:u w:val="single"/>
        </w:rPr>
        <w:t xml:space="preserve"> </w:t>
      </w: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</w:p>
    <w:p w:rsidR="00330A46" w:rsidRPr="00F42BE0" w:rsidRDefault="00330A46" w:rsidP="00330A46">
      <w:pPr>
        <w:jc w:val="both"/>
        <w:rPr>
          <w:bCs/>
          <w:sz w:val="22"/>
          <w:szCs w:val="22"/>
        </w:rPr>
      </w:pPr>
      <w:proofErr w:type="spellStart"/>
      <w:r w:rsidRPr="00F42BE0">
        <w:rPr>
          <w:bCs/>
          <w:sz w:val="22"/>
          <w:szCs w:val="22"/>
        </w:rPr>
        <w:t>Sen</w:t>
      </w:r>
      <w:proofErr w:type="spellEnd"/>
      <w:r w:rsidRPr="00F42BE0">
        <w:rPr>
          <w:bCs/>
          <w:sz w:val="22"/>
          <w:szCs w:val="22"/>
        </w:rPr>
        <w:t xml:space="preserve"> </w:t>
      </w:r>
      <w:proofErr w:type="spellStart"/>
      <w:r w:rsidRPr="00F42BE0">
        <w:rPr>
          <w:bCs/>
          <w:sz w:val="22"/>
          <w:szCs w:val="22"/>
        </w:rPr>
        <w:t>operacións</w:t>
      </w:r>
      <w:proofErr w:type="spellEnd"/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</w:p>
    <w:p w:rsidR="00330A46" w:rsidRPr="00F42BE0" w:rsidRDefault="00330A46" w:rsidP="00330A46">
      <w:pPr>
        <w:ind w:firstLine="708"/>
        <w:jc w:val="both"/>
        <w:rPr>
          <w:b/>
          <w:bCs/>
          <w:sz w:val="22"/>
          <w:szCs w:val="22"/>
          <w:u w:val="single"/>
        </w:rPr>
      </w:pPr>
      <w:r w:rsidRPr="00F42BE0">
        <w:rPr>
          <w:b/>
          <w:bCs/>
          <w:sz w:val="22"/>
          <w:szCs w:val="22"/>
          <w:u w:val="single"/>
        </w:rPr>
        <w:t>Capítulo VII -Transferencias de Capital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proofErr w:type="spellStart"/>
      <w:r w:rsidRPr="00F42BE0">
        <w:rPr>
          <w:sz w:val="22"/>
          <w:szCs w:val="22"/>
        </w:rPr>
        <w:t>Correspóndense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cos</w:t>
      </w:r>
      <w:proofErr w:type="spellEnd"/>
      <w:r w:rsidRPr="00F42BE0">
        <w:rPr>
          <w:sz w:val="22"/>
          <w:szCs w:val="22"/>
        </w:rPr>
        <w:t xml:space="preserve"> ingresos para investimentos e </w:t>
      </w:r>
      <w:proofErr w:type="spellStart"/>
      <w:r w:rsidRPr="00F42BE0">
        <w:rPr>
          <w:sz w:val="22"/>
          <w:szCs w:val="22"/>
        </w:rPr>
        <w:t>subvencións</w:t>
      </w:r>
      <w:proofErr w:type="spellEnd"/>
      <w:r w:rsidRPr="00F42BE0">
        <w:rPr>
          <w:sz w:val="22"/>
          <w:szCs w:val="22"/>
        </w:rPr>
        <w:t xml:space="preserve"> de capital (POS, FCA, PAS e </w:t>
      </w:r>
      <w:proofErr w:type="spellStart"/>
      <w:r w:rsidRPr="00F42BE0">
        <w:rPr>
          <w:sz w:val="22"/>
          <w:szCs w:val="22"/>
        </w:rPr>
        <w:t>outras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subvencións</w:t>
      </w:r>
      <w:proofErr w:type="spellEnd"/>
      <w:r w:rsidRPr="00F42BE0">
        <w:rPr>
          <w:sz w:val="22"/>
          <w:szCs w:val="22"/>
        </w:rPr>
        <w:t xml:space="preserve"> da </w:t>
      </w:r>
      <w:proofErr w:type="spellStart"/>
      <w:r w:rsidRPr="00F42BE0">
        <w:rPr>
          <w:sz w:val="22"/>
          <w:szCs w:val="22"/>
        </w:rPr>
        <w:t>Deputación</w:t>
      </w:r>
      <w:proofErr w:type="spellEnd"/>
      <w:r w:rsidRPr="00F42BE0">
        <w:rPr>
          <w:sz w:val="22"/>
          <w:szCs w:val="22"/>
        </w:rPr>
        <w:t xml:space="preserve">, principalmente) </w:t>
      </w:r>
      <w:proofErr w:type="spellStart"/>
      <w:r w:rsidRPr="00F42BE0">
        <w:rPr>
          <w:sz w:val="22"/>
          <w:szCs w:val="22"/>
        </w:rPr>
        <w:t>Emprégase</w:t>
      </w:r>
      <w:proofErr w:type="spellEnd"/>
      <w:r w:rsidRPr="00F42BE0">
        <w:rPr>
          <w:sz w:val="22"/>
          <w:szCs w:val="22"/>
        </w:rPr>
        <w:t xml:space="preserve"> o criterio de prudencia e en tanto non </w:t>
      </w:r>
      <w:proofErr w:type="spellStart"/>
      <w:r w:rsidRPr="00F42BE0">
        <w:rPr>
          <w:sz w:val="22"/>
          <w:szCs w:val="22"/>
        </w:rPr>
        <w:t>sexa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esixible</w:t>
      </w:r>
      <w:proofErr w:type="spellEnd"/>
      <w:r w:rsidRPr="00F42BE0">
        <w:rPr>
          <w:sz w:val="22"/>
          <w:szCs w:val="22"/>
        </w:rPr>
        <w:t xml:space="preserve"> o </w:t>
      </w:r>
      <w:proofErr w:type="spellStart"/>
      <w:r w:rsidRPr="00F42BE0">
        <w:rPr>
          <w:sz w:val="22"/>
          <w:szCs w:val="22"/>
        </w:rPr>
        <w:t>dereito</w:t>
      </w:r>
      <w:proofErr w:type="spellEnd"/>
      <w:r w:rsidRPr="00F42BE0">
        <w:rPr>
          <w:sz w:val="22"/>
          <w:szCs w:val="22"/>
        </w:rPr>
        <w:t xml:space="preserve"> non se </w:t>
      </w:r>
      <w:proofErr w:type="spellStart"/>
      <w:r w:rsidRPr="00F42BE0">
        <w:rPr>
          <w:sz w:val="22"/>
          <w:szCs w:val="22"/>
        </w:rPr>
        <w:t>recoñecen</w:t>
      </w:r>
      <w:proofErr w:type="spellEnd"/>
      <w:r w:rsidRPr="00F42BE0">
        <w:rPr>
          <w:sz w:val="22"/>
          <w:szCs w:val="22"/>
        </w:rPr>
        <w:t xml:space="preserve"> como tales.</w:t>
      </w:r>
    </w:p>
    <w:p w:rsidR="00330A46" w:rsidRPr="00F42BE0" w:rsidRDefault="00330A46" w:rsidP="00330A46">
      <w:pPr>
        <w:jc w:val="both"/>
        <w:rPr>
          <w:sz w:val="22"/>
          <w:szCs w:val="22"/>
          <w:highlight w:val="yellow"/>
        </w:rPr>
      </w:pPr>
    </w:p>
    <w:p w:rsidR="00330A46" w:rsidRPr="00F42BE0" w:rsidRDefault="00330A46" w:rsidP="00330A46">
      <w:pPr>
        <w:ind w:firstLine="708"/>
        <w:jc w:val="both"/>
        <w:rPr>
          <w:b/>
          <w:bCs/>
          <w:sz w:val="22"/>
          <w:szCs w:val="22"/>
          <w:u w:val="single"/>
        </w:rPr>
      </w:pPr>
      <w:r w:rsidRPr="00F42BE0">
        <w:rPr>
          <w:b/>
          <w:bCs/>
          <w:sz w:val="22"/>
          <w:szCs w:val="22"/>
          <w:u w:val="single"/>
        </w:rPr>
        <w:t xml:space="preserve">Capítulo VIII.- Activos </w:t>
      </w:r>
      <w:proofErr w:type="spellStart"/>
      <w:r w:rsidRPr="00F42BE0">
        <w:rPr>
          <w:b/>
          <w:bCs/>
          <w:sz w:val="22"/>
          <w:szCs w:val="22"/>
          <w:u w:val="single"/>
        </w:rPr>
        <w:t>Financeiros</w:t>
      </w:r>
      <w:proofErr w:type="spellEnd"/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  <w:t xml:space="preserve">Actualmente, </w:t>
      </w:r>
      <w:proofErr w:type="spellStart"/>
      <w:r w:rsidRPr="00F42BE0">
        <w:rPr>
          <w:sz w:val="22"/>
          <w:szCs w:val="22"/>
        </w:rPr>
        <w:t>contabilízanse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neste</w:t>
      </w:r>
      <w:proofErr w:type="spellEnd"/>
      <w:r w:rsidRPr="00F42BE0">
        <w:rPr>
          <w:sz w:val="22"/>
          <w:szCs w:val="22"/>
        </w:rPr>
        <w:t xml:space="preserve"> capítulo </w:t>
      </w:r>
      <w:proofErr w:type="spellStart"/>
      <w:r w:rsidRPr="00F42BE0">
        <w:rPr>
          <w:sz w:val="22"/>
          <w:szCs w:val="22"/>
        </w:rPr>
        <w:t>unicamente</w:t>
      </w:r>
      <w:proofErr w:type="spellEnd"/>
      <w:r w:rsidRPr="00F42BE0">
        <w:rPr>
          <w:sz w:val="22"/>
          <w:szCs w:val="22"/>
        </w:rPr>
        <w:t xml:space="preserve"> as </w:t>
      </w:r>
      <w:proofErr w:type="spellStart"/>
      <w:r w:rsidRPr="00F42BE0">
        <w:rPr>
          <w:sz w:val="22"/>
          <w:szCs w:val="22"/>
        </w:rPr>
        <w:t>anotacións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correspondentes</w:t>
      </w:r>
      <w:proofErr w:type="spellEnd"/>
      <w:r w:rsidRPr="00F42BE0">
        <w:rPr>
          <w:sz w:val="22"/>
          <w:szCs w:val="22"/>
        </w:rPr>
        <w:t xml:space="preserve"> a Remanente de </w:t>
      </w:r>
      <w:proofErr w:type="spellStart"/>
      <w:r w:rsidRPr="00F42BE0">
        <w:rPr>
          <w:sz w:val="22"/>
          <w:szCs w:val="22"/>
        </w:rPr>
        <w:t>Tesouraría</w:t>
      </w:r>
      <w:proofErr w:type="spellEnd"/>
      <w:r w:rsidRPr="00F42BE0">
        <w:rPr>
          <w:sz w:val="22"/>
          <w:szCs w:val="22"/>
        </w:rPr>
        <w:t xml:space="preserve"> e préstamos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persoal</w:t>
      </w:r>
      <w:proofErr w:type="spellEnd"/>
      <w:r w:rsidRPr="00F42BE0">
        <w:rPr>
          <w:sz w:val="22"/>
          <w:szCs w:val="22"/>
        </w:rPr>
        <w:t xml:space="preserve">. Únicamente o préstamo a </w:t>
      </w:r>
      <w:proofErr w:type="spellStart"/>
      <w:r w:rsidRPr="00F42BE0">
        <w:rPr>
          <w:sz w:val="22"/>
          <w:szCs w:val="22"/>
        </w:rPr>
        <w:t>persoal</w:t>
      </w:r>
      <w:proofErr w:type="spellEnd"/>
      <w:r w:rsidRPr="00F42BE0">
        <w:rPr>
          <w:sz w:val="22"/>
          <w:szCs w:val="22"/>
        </w:rPr>
        <w:t xml:space="preserve"> do Concello </w:t>
      </w:r>
      <w:proofErr w:type="spellStart"/>
      <w:r w:rsidRPr="00F42BE0">
        <w:rPr>
          <w:sz w:val="22"/>
          <w:szCs w:val="22"/>
        </w:rPr>
        <w:t>xenera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dereitos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orzamentarios</w:t>
      </w:r>
      <w:proofErr w:type="spellEnd"/>
      <w:r w:rsidRPr="00F42BE0">
        <w:rPr>
          <w:sz w:val="22"/>
          <w:szCs w:val="22"/>
        </w:rPr>
        <w:t xml:space="preserve"> e non distorsiona a </w:t>
      </w:r>
      <w:proofErr w:type="spellStart"/>
      <w:r w:rsidRPr="00F42BE0">
        <w:rPr>
          <w:sz w:val="22"/>
          <w:szCs w:val="22"/>
        </w:rPr>
        <w:t>establidade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orzamentaria</w:t>
      </w:r>
      <w:proofErr w:type="spellEnd"/>
      <w:r w:rsidRPr="00F42BE0">
        <w:rPr>
          <w:sz w:val="22"/>
          <w:szCs w:val="22"/>
        </w:rPr>
        <w:t xml:space="preserve"> e a </w:t>
      </w:r>
      <w:proofErr w:type="spellStart"/>
      <w:r w:rsidRPr="00F42BE0">
        <w:rPr>
          <w:sz w:val="22"/>
          <w:szCs w:val="22"/>
        </w:rPr>
        <w:t>regra</w:t>
      </w:r>
      <w:proofErr w:type="spellEnd"/>
      <w:r w:rsidRPr="00F42BE0">
        <w:rPr>
          <w:sz w:val="22"/>
          <w:szCs w:val="22"/>
        </w:rPr>
        <w:t xml:space="preserve"> de gasto.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sz w:val="22"/>
          <w:szCs w:val="22"/>
          <w:u w:val="single"/>
        </w:rPr>
      </w:pPr>
      <w:r w:rsidRPr="00F42BE0">
        <w:rPr>
          <w:sz w:val="22"/>
          <w:szCs w:val="22"/>
        </w:rPr>
        <w:t xml:space="preserve">O </w:t>
      </w:r>
      <w:proofErr w:type="spellStart"/>
      <w:r w:rsidRPr="00F42BE0">
        <w:rPr>
          <w:sz w:val="22"/>
          <w:szCs w:val="22"/>
        </w:rPr>
        <w:t>emprego</w:t>
      </w:r>
      <w:proofErr w:type="spellEnd"/>
      <w:r w:rsidRPr="00F42BE0">
        <w:rPr>
          <w:sz w:val="22"/>
          <w:szCs w:val="22"/>
        </w:rPr>
        <w:t xml:space="preserve"> do remanente de </w:t>
      </w:r>
      <w:proofErr w:type="spellStart"/>
      <w:r w:rsidRPr="00F42BE0">
        <w:rPr>
          <w:sz w:val="22"/>
          <w:szCs w:val="22"/>
        </w:rPr>
        <w:t>tesourería</w:t>
      </w:r>
      <w:proofErr w:type="spellEnd"/>
      <w:r w:rsidRPr="00F42BE0">
        <w:rPr>
          <w:sz w:val="22"/>
          <w:szCs w:val="22"/>
        </w:rPr>
        <w:t xml:space="preserve">  como </w:t>
      </w:r>
      <w:proofErr w:type="spellStart"/>
      <w:r w:rsidRPr="00F42BE0">
        <w:rPr>
          <w:sz w:val="22"/>
          <w:szCs w:val="22"/>
        </w:rPr>
        <w:t>fonte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financiamento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modificacións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presupostarias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longo do </w:t>
      </w:r>
      <w:proofErr w:type="spellStart"/>
      <w:r w:rsidRPr="00F42BE0">
        <w:rPr>
          <w:sz w:val="22"/>
          <w:szCs w:val="22"/>
        </w:rPr>
        <w:t>exercicio</w:t>
      </w:r>
      <w:proofErr w:type="spellEnd"/>
      <w:r w:rsidRPr="00F42BE0">
        <w:rPr>
          <w:sz w:val="22"/>
          <w:szCs w:val="22"/>
        </w:rPr>
        <w:t xml:space="preserve"> incrementa as </w:t>
      </w:r>
      <w:proofErr w:type="spellStart"/>
      <w:r w:rsidRPr="00F42BE0">
        <w:rPr>
          <w:sz w:val="22"/>
          <w:szCs w:val="22"/>
        </w:rPr>
        <w:t>previsións</w:t>
      </w:r>
      <w:proofErr w:type="spellEnd"/>
      <w:r w:rsidRPr="00F42BE0">
        <w:rPr>
          <w:sz w:val="22"/>
          <w:szCs w:val="22"/>
        </w:rPr>
        <w:t xml:space="preserve"> definitivas pero non </w:t>
      </w:r>
      <w:proofErr w:type="spellStart"/>
      <w:r w:rsidRPr="00F42BE0">
        <w:rPr>
          <w:sz w:val="22"/>
          <w:szCs w:val="22"/>
        </w:rPr>
        <w:t>xenera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dereitos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orzamentarios</w:t>
      </w:r>
      <w:proofErr w:type="spellEnd"/>
      <w:r w:rsidRPr="00F42BE0">
        <w:rPr>
          <w:sz w:val="22"/>
          <w:szCs w:val="22"/>
        </w:rPr>
        <w:t xml:space="preserve"> por tratarse de un ingreso </w:t>
      </w:r>
      <w:proofErr w:type="spellStart"/>
      <w:r w:rsidRPr="00F42BE0">
        <w:rPr>
          <w:sz w:val="22"/>
          <w:szCs w:val="22"/>
        </w:rPr>
        <w:t>financeiro</w:t>
      </w:r>
      <w:proofErr w:type="spellEnd"/>
      <w:r w:rsidRPr="00F42BE0">
        <w:rPr>
          <w:sz w:val="22"/>
          <w:szCs w:val="22"/>
        </w:rPr>
        <w:t xml:space="preserve"> que </w:t>
      </w:r>
      <w:proofErr w:type="spellStart"/>
      <w:r w:rsidRPr="00F42BE0">
        <w:rPr>
          <w:sz w:val="22"/>
          <w:szCs w:val="22"/>
        </w:rPr>
        <w:t>xa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foi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obxecto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recoñecemento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orzamentario</w:t>
      </w:r>
      <w:proofErr w:type="spellEnd"/>
      <w:r w:rsidRPr="00F42BE0">
        <w:rPr>
          <w:sz w:val="22"/>
          <w:szCs w:val="22"/>
        </w:rPr>
        <w:t xml:space="preserve"> en </w:t>
      </w:r>
      <w:proofErr w:type="spellStart"/>
      <w:r w:rsidRPr="00F42BE0">
        <w:rPr>
          <w:sz w:val="22"/>
          <w:szCs w:val="22"/>
        </w:rPr>
        <w:t>exercicios</w:t>
      </w:r>
      <w:proofErr w:type="spellEnd"/>
      <w:r w:rsidRPr="00F42BE0">
        <w:rPr>
          <w:sz w:val="22"/>
          <w:szCs w:val="22"/>
        </w:rPr>
        <w:t xml:space="preserve"> anteriores, polo que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financiar gastos dos capítulos 1 a 7 con este recurso </w:t>
      </w:r>
      <w:r w:rsidRPr="00F42BE0">
        <w:rPr>
          <w:b/>
          <w:sz w:val="22"/>
          <w:szCs w:val="22"/>
          <w:u w:val="single"/>
        </w:rPr>
        <w:t xml:space="preserve">repercute negativamente na </w:t>
      </w:r>
      <w:proofErr w:type="spellStart"/>
      <w:r w:rsidRPr="00F42BE0">
        <w:rPr>
          <w:b/>
          <w:sz w:val="22"/>
          <w:szCs w:val="22"/>
          <w:u w:val="single"/>
        </w:rPr>
        <w:t>estabilidade</w:t>
      </w:r>
      <w:proofErr w:type="spellEnd"/>
      <w:r w:rsidRPr="00F42BE0">
        <w:rPr>
          <w:b/>
          <w:sz w:val="22"/>
          <w:szCs w:val="22"/>
          <w:u w:val="single"/>
        </w:rPr>
        <w:t xml:space="preserve"> </w:t>
      </w:r>
      <w:proofErr w:type="spellStart"/>
      <w:r w:rsidRPr="00F42BE0">
        <w:rPr>
          <w:b/>
          <w:sz w:val="22"/>
          <w:szCs w:val="22"/>
          <w:u w:val="single"/>
        </w:rPr>
        <w:t>orzamentaria</w:t>
      </w:r>
      <w:proofErr w:type="spellEnd"/>
      <w:r w:rsidRPr="00F42BE0">
        <w:rPr>
          <w:b/>
          <w:sz w:val="22"/>
          <w:szCs w:val="22"/>
          <w:u w:val="single"/>
        </w:rPr>
        <w:t xml:space="preserve"> e na </w:t>
      </w:r>
      <w:proofErr w:type="spellStart"/>
      <w:r w:rsidRPr="00F42BE0">
        <w:rPr>
          <w:b/>
          <w:sz w:val="22"/>
          <w:szCs w:val="22"/>
          <w:u w:val="single"/>
        </w:rPr>
        <w:t>regra</w:t>
      </w:r>
      <w:proofErr w:type="spellEnd"/>
      <w:r w:rsidRPr="00F42BE0">
        <w:rPr>
          <w:b/>
          <w:sz w:val="22"/>
          <w:szCs w:val="22"/>
          <w:u w:val="single"/>
        </w:rPr>
        <w:t xml:space="preserve"> de gasto.</w:t>
      </w:r>
    </w:p>
    <w:p w:rsidR="00330A46" w:rsidRPr="00F42BE0" w:rsidRDefault="00330A46" w:rsidP="00330A46">
      <w:pPr>
        <w:ind w:firstLine="720"/>
        <w:jc w:val="both"/>
        <w:rPr>
          <w:sz w:val="22"/>
          <w:szCs w:val="22"/>
          <w:highlight w:val="yellow"/>
        </w:rPr>
      </w:pPr>
    </w:p>
    <w:p w:rsidR="00330A46" w:rsidRPr="00F42BE0" w:rsidRDefault="00330A46" w:rsidP="00330A46">
      <w:pPr>
        <w:ind w:firstLine="708"/>
        <w:jc w:val="both"/>
        <w:rPr>
          <w:b/>
          <w:bCs/>
          <w:sz w:val="22"/>
          <w:szCs w:val="22"/>
          <w:u w:val="single"/>
        </w:rPr>
      </w:pPr>
      <w:r w:rsidRPr="00F42BE0">
        <w:rPr>
          <w:b/>
          <w:bCs/>
          <w:sz w:val="22"/>
          <w:szCs w:val="22"/>
          <w:u w:val="single"/>
        </w:rPr>
        <w:t xml:space="preserve">Capítulo IX.- Pasivos </w:t>
      </w:r>
      <w:proofErr w:type="spellStart"/>
      <w:r w:rsidRPr="00F42BE0">
        <w:rPr>
          <w:b/>
          <w:bCs/>
          <w:sz w:val="22"/>
          <w:szCs w:val="22"/>
          <w:u w:val="single"/>
        </w:rPr>
        <w:t>Financeiros</w:t>
      </w:r>
      <w:proofErr w:type="spellEnd"/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pStyle w:val="Textoindependiente2"/>
        <w:spacing w:line="240" w:lineRule="auto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A 30 de </w:t>
      </w:r>
      <w:proofErr w:type="spellStart"/>
      <w:r w:rsidRPr="00F42BE0">
        <w:rPr>
          <w:sz w:val="22"/>
          <w:szCs w:val="22"/>
        </w:rPr>
        <w:t>xuño</w:t>
      </w:r>
      <w:proofErr w:type="spellEnd"/>
      <w:r w:rsidRPr="00F42BE0">
        <w:rPr>
          <w:sz w:val="22"/>
          <w:szCs w:val="22"/>
        </w:rPr>
        <w:t xml:space="preserve"> non ten </w:t>
      </w:r>
      <w:proofErr w:type="spellStart"/>
      <w:r w:rsidRPr="00F42BE0">
        <w:rPr>
          <w:sz w:val="22"/>
          <w:szCs w:val="22"/>
        </w:rPr>
        <w:t>movimentos</w:t>
      </w:r>
      <w:proofErr w:type="spellEnd"/>
      <w:r w:rsidRPr="00F42BE0">
        <w:rPr>
          <w:sz w:val="22"/>
          <w:szCs w:val="22"/>
        </w:rPr>
        <w:t xml:space="preserve">. Presenta </w:t>
      </w:r>
      <w:proofErr w:type="spellStart"/>
      <w:r w:rsidRPr="00F42BE0">
        <w:rPr>
          <w:sz w:val="22"/>
          <w:szCs w:val="22"/>
        </w:rPr>
        <w:t>movimentos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nas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previsións</w:t>
      </w:r>
      <w:proofErr w:type="spellEnd"/>
      <w:r w:rsidRPr="00F42BE0">
        <w:rPr>
          <w:sz w:val="22"/>
          <w:szCs w:val="22"/>
        </w:rPr>
        <w:t xml:space="preserve"> de ingresos  </w:t>
      </w:r>
      <w:proofErr w:type="spellStart"/>
      <w:r w:rsidRPr="00F42BE0">
        <w:rPr>
          <w:sz w:val="22"/>
          <w:szCs w:val="22"/>
        </w:rPr>
        <w:t>pola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solicitude</w:t>
      </w:r>
      <w:proofErr w:type="spellEnd"/>
      <w:r w:rsidRPr="00F42BE0">
        <w:rPr>
          <w:sz w:val="22"/>
          <w:szCs w:val="22"/>
        </w:rPr>
        <w:t xml:space="preserve"> do préstamos coa </w:t>
      </w:r>
      <w:proofErr w:type="spellStart"/>
      <w:r w:rsidRPr="00F42BE0">
        <w:rPr>
          <w:sz w:val="22"/>
          <w:szCs w:val="22"/>
        </w:rPr>
        <w:t>Deputación</w:t>
      </w:r>
      <w:proofErr w:type="spellEnd"/>
      <w:r w:rsidRPr="00F42BE0">
        <w:rPr>
          <w:sz w:val="22"/>
          <w:szCs w:val="22"/>
        </w:rPr>
        <w:t xml:space="preserve"> (PAI 2016) por un total de 212.115,86 € incorporada no </w:t>
      </w:r>
      <w:proofErr w:type="spellStart"/>
      <w:r w:rsidRPr="00F42BE0">
        <w:rPr>
          <w:sz w:val="22"/>
          <w:szCs w:val="22"/>
        </w:rPr>
        <w:t>orzamento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b/>
          <w:bCs/>
          <w:sz w:val="22"/>
          <w:szCs w:val="22"/>
          <w:u w:val="single"/>
        </w:rPr>
      </w:pPr>
      <w:r w:rsidRPr="00F42BE0">
        <w:rPr>
          <w:b/>
          <w:bCs/>
          <w:sz w:val="22"/>
          <w:szCs w:val="22"/>
          <w:u w:val="single"/>
        </w:rPr>
        <w:t>D. TESOURARÍA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  <w:t xml:space="preserve">A evolución da </w:t>
      </w:r>
      <w:proofErr w:type="spellStart"/>
      <w:r w:rsidRPr="00F42BE0">
        <w:rPr>
          <w:sz w:val="22"/>
          <w:szCs w:val="22"/>
        </w:rPr>
        <w:t>Tesouraría</w:t>
      </w:r>
      <w:proofErr w:type="spellEnd"/>
      <w:r w:rsidRPr="00F42BE0">
        <w:rPr>
          <w:sz w:val="22"/>
          <w:szCs w:val="22"/>
        </w:rPr>
        <w:t xml:space="preserve"> Municipal (</w:t>
      </w:r>
      <w:proofErr w:type="gramStart"/>
      <w:r w:rsidRPr="00F42BE0">
        <w:rPr>
          <w:sz w:val="22"/>
          <w:szCs w:val="22"/>
        </w:rPr>
        <w:t>un</w:t>
      </w:r>
      <w:proofErr w:type="gramEnd"/>
      <w:r w:rsidRPr="00F42BE0">
        <w:rPr>
          <w:sz w:val="22"/>
          <w:szCs w:val="22"/>
        </w:rPr>
        <w:t xml:space="preserve"> dos aspectos que debe </w:t>
      </w:r>
      <w:proofErr w:type="spellStart"/>
      <w:r w:rsidRPr="00F42BE0">
        <w:rPr>
          <w:sz w:val="22"/>
          <w:szCs w:val="22"/>
        </w:rPr>
        <w:t>reflectir</w:t>
      </w:r>
      <w:proofErr w:type="spellEnd"/>
      <w:r w:rsidRPr="00F42BE0">
        <w:rPr>
          <w:sz w:val="22"/>
          <w:szCs w:val="22"/>
        </w:rPr>
        <w:t xml:space="preserve"> o presente informe, segundo establece o artigo 55º das Bases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do </w:t>
      </w:r>
      <w:proofErr w:type="spellStart"/>
      <w:r w:rsidRPr="00F42BE0">
        <w:rPr>
          <w:sz w:val="22"/>
          <w:szCs w:val="22"/>
        </w:rPr>
        <w:t>Presuposto</w:t>
      </w:r>
      <w:proofErr w:type="spellEnd"/>
      <w:r w:rsidRPr="00F42BE0">
        <w:rPr>
          <w:sz w:val="22"/>
          <w:szCs w:val="22"/>
        </w:rPr>
        <w:t xml:space="preserve">) pode </w:t>
      </w:r>
      <w:proofErr w:type="spellStart"/>
      <w:r w:rsidRPr="00F42BE0">
        <w:rPr>
          <w:sz w:val="22"/>
          <w:szCs w:val="22"/>
        </w:rPr>
        <w:t>reflectirse</w:t>
      </w:r>
      <w:proofErr w:type="spellEnd"/>
      <w:r w:rsidRPr="00F42BE0">
        <w:rPr>
          <w:sz w:val="22"/>
          <w:szCs w:val="22"/>
        </w:rPr>
        <w:t xml:space="preserve"> no </w:t>
      </w:r>
      <w:proofErr w:type="spellStart"/>
      <w:r w:rsidRPr="00F42BE0">
        <w:rPr>
          <w:sz w:val="22"/>
          <w:szCs w:val="22"/>
        </w:rPr>
        <w:t>seguinte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cadro</w:t>
      </w:r>
      <w:proofErr w:type="spellEnd"/>
      <w:r w:rsidRPr="00F42BE0">
        <w:rPr>
          <w:sz w:val="22"/>
          <w:szCs w:val="22"/>
        </w:rPr>
        <w:t>: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3"/>
        <w:gridCol w:w="3701"/>
        <w:gridCol w:w="1570"/>
      </w:tblGrid>
      <w:tr w:rsidR="00330A46" w:rsidRPr="00F42BE0" w:rsidTr="00330A46">
        <w:trPr>
          <w:trHeight w:val="227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Cs/>
                <w:color w:val="000000"/>
                <w:sz w:val="22"/>
                <w:szCs w:val="22"/>
                <w:lang w:val="es-ES"/>
              </w:rPr>
              <w:t>SALDOS  a 30-06-2017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Nº de cuenta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Saldo</w:t>
            </w:r>
          </w:p>
        </w:tc>
      </w:tr>
      <w:tr w:rsidR="00330A46" w:rsidRPr="00F42BE0" w:rsidTr="00330A46">
        <w:trPr>
          <w:trHeight w:val="227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</w:rPr>
            </w:pPr>
            <w:r w:rsidRPr="00F42BE0">
              <w:rPr>
                <w:bCs/>
                <w:color w:val="000000"/>
                <w:sz w:val="22"/>
                <w:szCs w:val="22"/>
              </w:rPr>
              <w:t>Caja Corporación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 xml:space="preserve">              15,28 € </w:t>
            </w:r>
          </w:p>
        </w:tc>
      </w:tr>
      <w:tr w:rsidR="00330A46" w:rsidRPr="00F42BE0" w:rsidTr="00330A46">
        <w:trPr>
          <w:trHeight w:val="227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Cs/>
                <w:color w:val="000000"/>
                <w:sz w:val="22"/>
                <w:szCs w:val="22"/>
                <w:lang w:val="es-ES"/>
              </w:rPr>
              <w:t>Banco Santander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330A46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ES71 </w:t>
            </w:r>
            <w:r>
              <w:rPr>
                <w:color w:val="000000"/>
                <w:sz w:val="22"/>
                <w:szCs w:val="22"/>
                <w:lang w:val="es-ES"/>
              </w:rPr>
              <w:t>XXX-XXX-XXX-XXX-XXX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 xml:space="preserve">      28.207,12 €  </w:t>
            </w:r>
          </w:p>
        </w:tc>
      </w:tr>
      <w:tr w:rsidR="00330A46" w:rsidRPr="00F42BE0" w:rsidTr="00330A46">
        <w:trPr>
          <w:trHeight w:val="227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Cs/>
                <w:color w:val="000000"/>
                <w:sz w:val="22"/>
                <w:szCs w:val="22"/>
                <w:lang w:val="es-ES"/>
              </w:rPr>
              <w:t>Banco Sabadell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ES57 </w:t>
            </w:r>
            <w:r>
              <w:rPr>
                <w:color w:val="000000"/>
                <w:sz w:val="22"/>
                <w:szCs w:val="22"/>
                <w:lang w:val="es-ES"/>
              </w:rPr>
              <w:t>XXX-XXX-XXX-XXX-XXX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 xml:space="preserve">    624.189,97 € </w:t>
            </w:r>
          </w:p>
        </w:tc>
      </w:tr>
      <w:tr w:rsidR="00330A46" w:rsidRPr="00F42BE0" w:rsidTr="00330A46">
        <w:trPr>
          <w:trHeight w:val="227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Cs/>
                <w:color w:val="000000"/>
                <w:sz w:val="22"/>
                <w:szCs w:val="22"/>
                <w:lang w:val="es-ES"/>
              </w:rPr>
              <w:t>Banco Sabadell ( Polideportivo)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ES41 </w:t>
            </w:r>
            <w:r>
              <w:rPr>
                <w:color w:val="000000"/>
                <w:sz w:val="22"/>
                <w:szCs w:val="22"/>
                <w:lang w:val="es-ES"/>
              </w:rPr>
              <w:t>XXX-XXX-XXX-XXX-XXX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 xml:space="preserve">      69.770,56 € </w:t>
            </w:r>
          </w:p>
        </w:tc>
      </w:tr>
      <w:tr w:rsidR="00330A46" w:rsidRPr="00F42BE0" w:rsidTr="00330A46">
        <w:trPr>
          <w:trHeight w:val="227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Cs/>
                <w:color w:val="000000"/>
                <w:sz w:val="22"/>
                <w:szCs w:val="22"/>
                <w:lang w:val="es-ES"/>
              </w:rPr>
              <w:t>Deposito Sabadell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 xml:space="preserve">     300.000,00 € </w:t>
            </w:r>
          </w:p>
        </w:tc>
      </w:tr>
      <w:tr w:rsidR="00330A46" w:rsidRPr="00F42BE0" w:rsidTr="00330A46">
        <w:trPr>
          <w:trHeight w:val="227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Cs/>
                <w:color w:val="000000"/>
                <w:sz w:val="22"/>
                <w:szCs w:val="22"/>
                <w:lang w:val="es-ES"/>
              </w:rPr>
              <w:t>Banco Pastor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ES57 </w:t>
            </w:r>
            <w:r>
              <w:rPr>
                <w:color w:val="000000"/>
                <w:sz w:val="22"/>
                <w:szCs w:val="22"/>
                <w:lang w:val="es-ES"/>
              </w:rPr>
              <w:t>XXX-XXX-XXX-XXX-XXX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 xml:space="preserve">    255.719,27 € </w:t>
            </w:r>
          </w:p>
        </w:tc>
      </w:tr>
      <w:tr w:rsidR="00330A46" w:rsidRPr="00F42BE0" w:rsidTr="00330A46">
        <w:trPr>
          <w:trHeight w:val="227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Cs/>
                <w:color w:val="000000"/>
                <w:sz w:val="22"/>
                <w:szCs w:val="22"/>
                <w:lang w:val="es-ES"/>
              </w:rPr>
              <w:t>BBVA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ES70 </w:t>
            </w:r>
            <w:r>
              <w:rPr>
                <w:color w:val="000000"/>
                <w:sz w:val="22"/>
                <w:szCs w:val="22"/>
                <w:lang w:val="es-ES"/>
              </w:rPr>
              <w:t>XXX-XXX-XXX-XXX-XXX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 xml:space="preserve">      16.127,26 €    </w:t>
            </w:r>
          </w:p>
        </w:tc>
      </w:tr>
      <w:tr w:rsidR="00330A46" w:rsidRPr="00F42BE0" w:rsidTr="00330A46">
        <w:trPr>
          <w:trHeight w:val="227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Cs/>
                <w:color w:val="000000"/>
                <w:sz w:val="22"/>
                <w:szCs w:val="22"/>
                <w:lang w:val="es-ES"/>
              </w:rPr>
              <w:t>BBVA-Banco de Crédito Local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ES74 </w:t>
            </w:r>
            <w:r>
              <w:rPr>
                <w:color w:val="000000"/>
                <w:sz w:val="22"/>
                <w:szCs w:val="22"/>
                <w:lang w:val="es-ES"/>
              </w:rPr>
              <w:t>XXX-XXX-XXX-XXX-XXX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 xml:space="preserve">     154.660,71 €</w:t>
            </w:r>
          </w:p>
        </w:tc>
      </w:tr>
      <w:tr w:rsidR="00330A46" w:rsidRPr="00F42BE0" w:rsidTr="00330A46">
        <w:trPr>
          <w:trHeight w:val="227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Cs/>
                <w:color w:val="000000"/>
                <w:sz w:val="22"/>
                <w:szCs w:val="22"/>
                <w:lang w:val="es-ES"/>
              </w:rPr>
              <w:t>ABANCA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ES15 </w:t>
            </w:r>
            <w:r>
              <w:rPr>
                <w:color w:val="000000"/>
                <w:sz w:val="22"/>
                <w:szCs w:val="22"/>
                <w:lang w:val="es-ES"/>
              </w:rPr>
              <w:t>XXX-XXX-XXX-XXX-XXX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 xml:space="preserve">     507.941,23 € </w:t>
            </w:r>
          </w:p>
        </w:tc>
      </w:tr>
      <w:tr w:rsidR="00330A46" w:rsidRPr="00F42BE0" w:rsidTr="00330A46">
        <w:trPr>
          <w:trHeight w:val="227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Cs/>
                <w:color w:val="000000"/>
                <w:sz w:val="22"/>
                <w:szCs w:val="22"/>
                <w:lang w:val="es-ES"/>
              </w:rPr>
              <w:t>ABANCA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ES52 </w:t>
            </w:r>
            <w:r>
              <w:rPr>
                <w:color w:val="000000"/>
                <w:sz w:val="22"/>
                <w:szCs w:val="22"/>
                <w:lang w:val="es-ES"/>
              </w:rPr>
              <w:t>XXX-XXX-XXX-XXX-XXX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 xml:space="preserve">    372.641,30 €  </w:t>
            </w:r>
          </w:p>
        </w:tc>
      </w:tr>
      <w:tr w:rsidR="00330A46" w:rsidRPr="00F42BE0" w:rsidTr="00330A46">
        <w:trPr>
          <w:trHeight w:val="227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Cs/>
                <w:color w:val="000000"/>
                <w:sz w:val="22"/>
                <w:szCs w:val="22"/>
                <w:lang w:val="es-ES"/>
              </w:rPr>
              <w:t>La Caixa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ES37 </w:t>
            </w:r>
            <w:r>
              <w:rPr>
                <w:color w:val="000000"/>
                <w:sz w:val="22"/>
                <w:szCs w:val="22"/>
                <w:lang w:val="es-ES"/>
              </w:rPr>
              <w:t>XXX-XXX-XXX-XXX-XXX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 xml:space="preserve">    163.474,40 € </w:t>
            </w:r>
          </w:p>
        </w:tc>
      </w:tr>
      <w:tr w:rsidR="00330A46" w:rsidRPr="00F42BE0" w:rsidTr="00330A46">
        <w:trPr>
          <w:trHeight w:val="227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Cs/>
                <w:color w:val="000000"/>
                <w:sz w:val="22"/>
                <w:szCs w:val="22"/>
                <w:lang w:val="es-ES"/>
              </w:rPr>
              <w:t xml:space="preserve">TOTAL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2.492.747,10 €</w:t>
            </w:r>
          </w:p>
        </w:tc>
      </w:tr>
    </w:tbl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  <w:lang w:val="es-ES"/>
        </w:rPr>
      </w:pPr>
    </w:p>
    <w:p w:rsidR="00330A46" w:rsidRPr="00F42BE0" w:rsidRDefault="00330A46" w:rsidP="00330A46">
      <w:pPr>
        <w:tabs>
          <w:tab w:val="center" w:pos="4512"/>
        </w:tabs>
        <w:jc w:val="center"/>
        <w:rPr>
          <w:b/>
          <w:sz w:val="22"/>
          <w:szCs w:val="22"/>
        </w:rPr>
      </w:pPr>
      <w:r w:rsidRPr="00F42BE0">
        <w:rPr>
          <w:b/>
          <w:sz w:val="22"/>
          <w:szCs w:val="22"/>
        </w:rPr>
        <w:t>AVANCE DA LIQUIDACIÓN DO PRESUPOSTO DE 2017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</w:r>
      <w:proofErr w:type="spellStart"/>
      <w:r w:rsidRPr="00F42BE0">
        <w:rPr>
          <w:sz w:val="22"/>
          <w:szCs w:val="22"/>
        </w:rPr>
        <w:t>Coincidindo</w:t>
      </w:r>
      <w:proofErr w:type="spellEnd"/>
      <w:r w:rsidRPr="00F42BE0">
        <w:rPr>
          <w:sz w:val="22"/>
          <w:szCs w:val="22"/>
        </w:rPr>
        <w:t xml:space="preserve"> coa emisión do presente informe sobre o Estado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Presupostaria</w:t>
      </w:r>
      <w:proofErr w:type="spellEnd"/>
      <w:r w:rsidRPr="00F42BE0">
        <w:rPr>
          <w:sz w:val="22"/>
          <w:szCs w:val="22"/>
        </w:rPr>
        <w:t xml:space="preserve"> no </w:t>
      </w:r>
      <w:proofErr w:type="spellStart"/>
      <w:r w:rsidRPr="00F42BE0">
        <w:rPr>
          <w:sz w:val="22"/>
          <w:szCs w:val="22"/>
        </w:rPr>
        <w:t>Primeiro</w:t>
      </w:r>
      <w:proofErr w:type="spellEnd"/>
      <w:r w:rsidRPr="00F42BE0">
        <w:rPr>
          <w:sz w:val="22"/>
          <w:szCs w:val="22"/>
        </w:rPr>
        <w:t xml:space="preserve"> Semestre do </w:t>
      </w:r>
      <w:proofErr w:type="spellStart"/>
      <w:r w:rsidRPr="00F42BE0">
        <w:rPr>
          <w:sz w:val="22"/>
          <w:szCs w:val="22"/>
        </w:rPr>
        <w:t>Exercicio</w:t>
      </w:r>
      <w:proofErr w:type="spellEnd"/>
      <w:r w:rsidRPr="00F42BE0">
        <w:rPr>
          <w:sz w:val="22"/>
          <w:szCs w:val="22"/>
        </w:rPr>
        <w:t xml:space="preserve">, pode emitirse o </w:t>
      </w:r>
      <w:proofErr w:type="spellStart"/>
      <w:r w:rsidRPr="00F42BE0">
        <w:rPr>
          <w:sz w:val="22"/>
          <w:szCs w:val="22"/>
        </w:rPr>
        <w:t>seguinte</w:t>
      </w:r>
      <w:proofErr w:type="spellEnd"/>
      <w:r w:rsidRPr="00F42BE0">
        <w:rPr>
          <w:sz w:val="22"/>
          <w:szCs w:val="22"/>
        </w:rPr>
        <w:t xml:space="preserve"> </w:t>
      </w:r>
      <w:r w:rsidRPr="00F42BE0">
        <w:rPr>
          <w:b/>
          <w:bCs/>
          <w:sz w:val="22"/>
          <w:szCs w:val="22"/>
        </w:rPr>
        <w:t xml:space="preserve">Avance da Liquidación do </w:t>
      </w:r>
      <w:proofErr w:type="spellStart"/>
      <w:r w:rsidRPr="00F42BE0">
        <w:rPr>
          <w:b/>
          <w:bCs/>
          <w:sz w:val="22"/>
          <w:szCs w:val="22"/>
        </w:rPr>
        <w:t>Presuposto</w:t>
      </w:r>
      <w:proofErr w:type="spellEnd"/>
      <w:r w:rsidRPr="00F42BE0">
        <w:rPr>
          <w:sz w:val="22"/>
          <w:szCs w:val="22"/>
        </w:rPr>
        <w:t xml:space="preserve"> regulado no apartado b) do artigo 168.1 do Real Decreto </w:t>
      </w:r>
      <w:proofErr w:type="spellStart"/>
      <w:r w:rsidRPr="00F42BE0">
        <w:rPr>
          <w:sz w:val="22"/>
          <w:szCs w:val="22"/>
        </w:rPr>
        <w:t>Lexislativo</w:t>
      </w:r>
      <w:proofErr w:type="spellEnd"/>
      <w:r w:rsidRPr="00F42BE0">
        <w:rPr>
          <w:sz w:val="22"/>
          <w:szCs w:val="22"/>
        </w:rPr>
        <w:t xml:space="preserve"> 2/2004, do 5 de marzo, polo que se </w:t>
      </w:r>
      <w:proofErr w:type="spellStart"/>
      <w:r w:rsidRPr="00F42BE0">
        <w:rPr>
          <w:sz w:val="22"/>
          <w:szCs w:val="22"/>
        </w:rPr>
        <w:t>aproba</w:t>
      </w:r>
      <w:proofErr w:type="spellEnd"/>
      <w:r w:rsidRPr="00F42BE0">
        <w:rPr>
          <w:sz w:val="22"/>
          <w:szCs w:val="22"/>
        </w:rPr>
        <w:t xml:space="preserve"> o Texto Refundido da </w:t>
      </w:r>
      <w:proofErr w:type="spellStart"/>
      <w:r w:rsidRPr="00F42BE0">
        <w:rPr>
          <w:sz w:val="22"/>
          <w:szCs w:val="22"/>
        </w:rPr>
        <w:t>Lei</w:t>
      </w:r>
      <w:proofErr w:type="spellEnd"/>
      <w:r w:rsidRPr="00F42BE0">
        <w:rPr>
          <w:sz w:val="22"/>
          <w:szCs w:val="22"/>
        </w:rPr>
        <w:t xml:space="preserve"> reguladora das </w:t>
      </w:r>
      <w:proofErr w:type="spellStart"/>
      <w:r w:rsidRPr="00F42BE0">
        <w:rPr>
          <w:sz w:val="22"/>
          <w:szCs w:val="22"/>
        </w:rPr>
        <w:lastRenderedPageBreak/>
        <w:t>Facendas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Locais</w:t>
      </w:r>
      <w:proofErr w:type="spellEnd"/>
      <w:r w:rsidRPr="00F42BE0">
        <w:rPr>
          <w:sz w:val="22"/>
          <w:szCs w:val="22"/>
        </w:rPr>
        <w:t xml:space="preserve">, </w:t>
      </w:r>
      <w:proofErr w:type="spellStart"/>
      <w:r w:rsidRPr="00F42BE0">
        <w:rPr>
          <w:sz w:val="22"/>
          <w:szCs w:val="22"/>
        </w:rPr>
        <w:t>e</w:t>
      </w:r>
      <w:proofErr w:type="spellEnd"/>
      <w:r w:rsidRPr="00F42BE0">
        <w:rPr>
          <w:sz w:val="22"/>
          <w:szCs w:val="22"/>
        </w:rPr>
        <w:t xml:space="preserve"> formado de </w:t>
      </w:r>
      <w:proofErr w:type="spellStart"/>
      <w:r w:rsidRPr="00F42BE0">
        <w:rPr>
          <w:sz w:val="22"/>
          <w:szCs w:val="22"/>
        </w:rPr>
        <w:t>acordo</w:t>
      </w:r>
      <w:proofErr w:type="spellEnd"/>
      <w:r w:rsidRPr="00F42BE0">
        <w:rPr>
          <w:sz w:val="22"/>
          <w:szCs w:val="22"/>
        </w:rPr>
        <w:t xml:space="preserve"> coa </w:t>
      </w:r>
      <w:proofErr w:type="spellStart"/>
      <w:r w:rsidRPr="00F42BE0">
        <w:rPr>
          <w:sz w:val="22"/>
          <w:szCs w:val="22"/>
        </w:rPr>
        <w:t>Instrución</w:t>
      </w:r>
      <w:proofErr w:type="spellEnd"/>
      <w:r w:rsidRPr="00F42BE0">
        <w:rPr>
          <w:sz w:val="22"/>
          <w:szCs w:val="22"/>
        </w:rPr>
        <w:t xml:space="preserve"> do Modelo Normal de </w:t>
      </w:r>
      <w:proofErr w:type="spellStart"/>
      <w:r w:rsidRPr="00F42BE0">
        <w:rPr>
          <w:sz w:val="22"/>
          <w:szCs w:val="22"/>
        </w:rPr>
        <w:t>Contabilidade</w:t>
      </w:r>
      <w:proofErr w:type="spellEnd"/>
      <w:r w:rsidRPr="00F42BE0">
        <w:rPr>
          <w:sz w:val="22"/>
          <w:szCs w:val="22"/>
        </w:rPr>
        <w:t xml:space="preserve"> Local (ICAL) e </w:t>
      </w:r>
      <w:proofErr w:type="spellStart"/>
      <w:r w:rsidRPr="00F42BE0">
        <w:rPr>
          <w:sz w:val="22"/>
          <w:szCs w:val="22"/>
        </w:rPr>
        <w:t>co</w:t>
      </w:r>
      <w:proofErr w:type="spellEnd"/>
      <w:r w:rsidRPr="00F42BE0">
        <w:rPr>
          <w:sz w:val="22"/>
          <w:szCs w:val="22"/>
        </w:rPr>
        <w:t xml:space="preserve"> artigo 48º das Bases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do </w:t>
      </w:r>
      <w:proofErr w:type="spellStart"/>
      <w:r w:rsidRPr="00F42BE0">
        <w:rPr>
          <w:sz w:val="22"/>
          <w:szCs w:val="22"/>
        </w:rPr>
        <w:t>Presuposto</w:t>
      </w:r>
      <w:proofErr w:type="spellEnd"/>
      <w:r w:rsidRPr="00F42BE0">
        <w:rPr>
          <w:sz w:val="22"/>
          <w:szCs w:val="22"/>
        </w:rPr>
        <w:t xml:space="preserve"> (BEP).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jc w:val="both"/>
        <w:rPr>
          <w:sz w:val="22"/>
          <w:szCs w:val="22"/>
        </w:rPr>
      </w:pPr>
      <w:r w:rsidRPr="00F42BE0">
        <w:rPr>
          <w:sz w:val="22"/>
          <w:szCs w:val="22"/>
        </w:rPr>
        <w:tab/>
        <w:t xml:space="preserve">O </w:t>
      </w:r>
      <w:proofErr w:type="spellStart"/>
      <w:r w:rsidRPr="00F42BE0">
        <w:rPr>
          <w:sz w:val="22"/>
          <w:szCs w:val="22"/>
        </w:rPr>
        <w:t>devandito</w:t>
      </w:r>
      <w:proofErr w:type="spellEnd"/>
      <w:r w:rsidRPr="00F42BE0">
        <w:rPr>
          <w:sz w:val="22"/>
          <w:szCs w:val="22"/>
        </w:rPr>
        <w:t xml:space="preserve"> Avance da Liquidación, referido, polo menos, a seis meses do </w:t>
      </w:r>
      <w:proofErr w:type="spellStart"/>
      <w:r w:rsidRPr="00F42BE0">
        <w:rPr>
          <w:sz w:val="22"/>
          <w:szCs w:val="22"/>
        </w:rPr>
        <w:t>exercicio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corrente</w:t>
      </w:r>
      <w:proofErr w:type="spellEnd"/>
      <w:r w:rsidRPr="00F42BE0">
        <w:rPr>
          <w:sz w:val="22"/>
          <w:szCs w:val="22"/>
        </w:rPr>
        <w:t xml:space="preserve">, </w:t>
      </w:r>
      <w:proofErr w:type="spellStart"/>
      <w:r w:rsidRPr="00F42BE0">
        <w:rPr>
          <w:sz w:val="22"/>
          <w:szCs w:val="22"/>
        </w:rPr>
        <w:t>constitúe</w:t>
      </w:r>
      <w:proofErr w:type="spellEnd"/>
      <w:r w:rsidRPr="00F42BE0">
        <w:rPr>
          <w:sz w:val="22"/>
          <w:szCs w:val="22"/>
        </w:rPr>
        <w:t xml:space="preserve"> un dos documentos que debe formar parte do expediente sobre aprobación do </w:t>
      </w:r>
      <w:proofErr w:type="spellStart"/>
      <w:r w:rsidRPr="00F42BE0">
        <w:rPr>
          <w:sz w:val="22"/>
          <w:szCs w:val="22"/>
        </w:rPr>
        <w:t>Presuposto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Xeral</w:t>
      </w:r>
      <w:proofErr w:type="spellEnd"/>
      <w:r w:rsidRPr="00F42BE0">
        <w:rPr>
          <w:sz w:val="22"/>
          <w:szCs w:val="22"/>
        </w:rPr>
        <w:t xml:space="preserve"> do próximo </w:t>
      </w:r>
      <w:proofErr w:type="spellStart"/>
      <w:r w:rsidRPr="00F42BE0">
        <w:rPr>
          <w:sz w:val="22"/>
          <w:szCs w:val="22"/>
        </w:rPr>
        <w:t>exercicio</w:t>
      </w:r>
      <w:proofErr w:type="spellEnd"/>
      <w:r w:rsidRPr="00F42BE0">
        <w:rPr>
          <w:sz w:val="22"/>
          <w:szCs w:val="22"/>
        </w:rPr>
        <w:t xml:space="preserve">, en </w:t>
      </w:r>
      <w:proofErr w:type="spellStart"/>
      <w:r w:rsidRPr="00F42BE0">
        <w:rPr>
          <w:sz w:val="22"/>
          <w:szCs w:val="22"/>
        </w:rPr>
        <w:t>cumprimento</w:t>
      </w:r>
      <w:proofErr w:type="spellEnd"/>
      <w:r w:rsidRPr="00F42BE0">
        <w:rPr>
          <w:sz w:val="22"/>
          <w:szCs w:val="22"/>
        </w:rPr>
        <w:t xml:space="preserve"> do </w:t>
      </w:r>
      <w:proofErr w:type="spellStart"/>
      <w:r w:rsidRPr="00F42BE0">
        <w:rPr>
          <w:sz w:val="22"/>
          <w:szCs w:val="22"/>
        </w:rPr>
        <w:t>disposto</w:t>
      </w:r>
      <w:proofErr w:type="spellEnd"/>
      <w:r w:rsidRPr="00F42BE0">
        <w:rPr>
          <w:sz w:val="22"/>
          <w:szCs w:val="22"/>
        </w:rPr>
        <w:t xml:space="preserve"> no artigo 168.1.b) do Real Decreto </w:t>
      </w:r>
      <w:proofErr w:type="spellStart"/>
      <w:r w:rsidRPr="00F42BE0">
        <w:rPr>
          <w:sz w:val="22"/>
          <w:szCs w:val="22"/>
        </w:rPr>
        <w:t>Lexislativo</w:t>
      </w:r>
      <w:proofErr w:type="spellEnd"/>
      <w:r w:rsidRPr="00F42BE0">
        <w:rPr>
          <w:sz w:val="22"/>
          <w:szCs w:val="22"/>
        </w:rPr>
        <w:t xml:space="preserve"> 2/2004, do 5 de marzo, polo que se </w:t>
      </w:r>
      <w:proofErr w:type="spellStart"/>
      <w:r w:rsidRPr="00F42BE0">
        <w:rPr>
          <w:sz w:val="22"/>
          <w:szCs w:val="22"/>
        </w:rPr>
        <w:t>aproba</w:t>
      </w:r>
      <w:proofErr w:type="spellEnd"/>
      <w:r w:rsidRPr="00F42BE0">
        <w:rPr>
          <w:sz w:val="22"/>
          <w:szCs w:val="22"/>
        </w:rPr>
        <w:t xml:space="preserve"> o Texto Refundido da </w:t>
      </w:r>
      <w:proofErr w:type="spellStart"/>
      <w:r w:rsidRPr="00F42BE0">
        <w:rPr>
          <w:sz w:val="22"/>
          <w:szCs w:val="22"/>
        </w:rPr>
        <w:t>Lei</w:t>
      </w:r>
      <w:proofErr w:type="spellEnd"/>
      <w:r w:rsidRPr="00F42BE0">
        <w:rPr>
          <w:sz w:val="22"/>
          <w:szCs w:val="22"/>
        </w:rPr>
        <w:t xml:space="preserve"> reguladora das </w:t>
      </w:r>
      <w:proofErr w:type="spellStart"/>
      <w:r w:rsidRPr="00F42BE0">
        <w:rPr>
          <w:sz w:val="22"/>
          <w:szCs w:val="22"/>
        </w:rPr>
        <w:t>Facendas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Locais</w:t>
      </w:r>
      <w:proofErr w:type="spellEnd"/>
      <w:r w:rsidRPr="00F42BE0">
        <w:rPr>
          <w:sz w:val="22"/>
          <w:szCs w:val="22"/>
        </w:rPr>
        <w:t xml:space="preserve">, polo que o presente se </w:t>
      </w:r>
      <w:proofErr w:type="spellStart"/>
      <w:r w:rsidRPr="00F42BE0">
        <w:rPr>
          <w:sz w:val="22"/>
          <w:szCs w:val="22"/>
        </w:rPr>
        <w:t>emitese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aos</w:t>
      </w:r>
      <w:proofErr w:type="spellEnd"/>
      <w:r w:rsidRPr="00F42BE0">
        <w:rPr>
          <w:sz w:val="22"/>
          <w:szCs w:val="22"/>
        </w:rPr>
        <w:t xml:space="preserve"> efectos da </w:t>
      </w:r>
      <w:proofErr w:type="spellStart"/>
      <w:r w:rsidRPr="00F42BE0">
        <w:rPr>
          <w:sz w:val="22"/>
          <w:szCs w:val="22"/>
        </w:rPr>
        <w:t>súa</w:t>
      </w:r>
      <w:proofErr w:type="spellEnd"/>
      <w:r w:rsidRPr="00F42BE0">
        <w:rPr>
          <w:sz w:val="22"/>
          <w:szCs w:val="22"/>
        </w:rPr>
        <w:t xml:space="preserve"> incorporación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citado expediente.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ind w:firstLine="720"/>
        <w:jc w:val="both"/>
        <w:rPr>
          <w:sz w:val="22"/>
          <w:szCs w:val="22"/>
        </w:rPr>
      </w:pPr>
      <w:r w:rsidRPr="00F42BE0">
        <w:rPr>
          <w:b/>
          <w:bCs/>
          <w:sz w:val="22"/>
          <w:szCs w:val="22"/>
        </w:rPr>
        <w:t>I. EXECUCIÓN DO PRESUPOSTO:</w:t>
      </w:r>
    </w:p>
    <w:p w:rsidR="00330A46" w:rsidRPr="00F42BE0" w:rsidRDefault="00330A46" w:rsidP="00330A46">
      <w:pPr>
        <w:jc w:val="both"/>
        <w:rPr>
          <w:sz w:val="22"/>
          <w:szCs w:val="22"/>
        </w:rPr>
      </w:pPr>
    </w:p>
    <w:p w:rsidR="00330A46" w:rsidRPr="00F42BE0" w:rsidRDefault="00330A46" w:rsidP="00330A46">
      <w:pPr>
        <w:pStyle w:val="Sangradetextonormal"/>
        <w:ind w:firstLine="709"/>
        <w:rPr>
          <w:sz w:val="22"/>
          <w:szCs w:val="22"/>
        </w:rPr>
      </w:pPr>
      <w:r w:rsidRPr="00F42BE0">
        <w:rPr>
          <w:sz w:val="22"/>
          <w:szCs w:val="22"/>
        </w:rPr>
        <w:t xml:space="preserve">Segundo establece a ICAL e o citado artigo 48º das BEP, na </w:t>
      </w:r>
      <w:proofErr w:type="spellStart"/>
      <w:r w:rsidRPr="00F42BE0">
        <w:rPr>
          <w:sz w:val="22"/>
          <w:szCs w:val="22"/>
        </w:rPr>
        <w:t>Primeira</w:t>
      </w:r>
      <w:proofErr w:type="spellEnd"/>
      <w:r w:rsidRPr="00F42BE0">
        <w:rPr>
          <w:sz w:val="22"/>
          <w:szCs w:val="22"/>
        </w:rPr>
        <w:t xml:space="preserve"> Parte </w:t>
      </w:r>
      <w:proofErr w:type="spellStart"/>
      <w:r w:rsidRPr="00F42BE0">
        <w:rPr>
          <w:sz w:val="22"/>
          <w:szCs w:val="22"/>
        </w:rPr>
        <w:t>expresaranse</w:t>
      </w:r>
      <w:proofErr w:type="spellEnd"/>
      <w:r w:rsidRPr="00F42BE0">
        <w:rPr>
          <w:sz w:val="22"/>
          <w:szCs w:val="22"/>
        </w:rPr>
        <w:t xml:space="preserve"> os datos da Liquidación do </w:t>
      </w:r>
      <w:proofErr w:type="spellStart"/>
      <w:r w:rsidRPr="00F42BE0">
        <w:rPr>
          <w:sz w:val="22"/>
          <w:szCs w:val="22"/>
        </w:rPr>
        <w:t>Presuposto</w:t>
      </w:r>
      <w:proofErr w:type="spellEnd"/>
      <w:r w:rsidRPr="00F42BE0">
        <w:rPr>
          <w:sz w:val="22"/>
          <w:szCs w:val="22"/>
        </w:rPr>
        <w:t xml:space="preserve"> referida, polo menos, </w:t>
      </w:r>
      <w:proofErr w:type="spellStart"/>
      <w:r w:rsidRPr="00F42BE0">
        <w:rPr>
          <w:sz w:val="22"/>
          <w:szCs w:val="22"/>
        </w:rPr>
        <w:t>aos</w:t>
      </w:r>
      <w:proofErr w:type="spellEnd"/>
      <w:r w:rsidRPr="00F42BE0">
        <w:rPr>
          <w:sz w:val="22"/>
          <w:szCs w:val="22"/>
        </w:rPr>
        <w:t xml:space="preserve"> seis </w:t>
      </w:r>
      <w:proofErr w:type="spellStart"/>
      <w:r w:rsidRPr="00F42BE0">
        <w:rPr>
          <w:sz w:val="22"/>
          <w:szCs w:val="22"/>
        </w:rPr>
        <w:t>primeiros</w:t>
      </w:r>
      <w:proofErr w:type="spellEnd"/>
      <w:r w:rsidRPr="00F42BE0">
        <w:rPr>
          <w:sz w:val="22"/>
          <w:szCs w:val="22"/>
        </w:rPr>
        <w:t xml:space="preserve"> meses do </w:t>
      </w:r>
      <w:proofErr w:type="spellStart"/>
      <w:r w:rsidRPr="00F42BE0">
        <w:rPr>
          <w:sz w:val="22"/>
          <w:szCs w:val="22"/>
        </w:rPr>
        <w:t>exercicio</w:t>
      </w:r>
      <w:proofErr w:type="spellEnd"/>
      <w:r w:rsidRPr="00F42BE0">
        <w:rPr>
          <w:sz w:val="22"/>
          <w:szCs w:val="22"/>
        </w:rPr>
        <w:t xml:space="preserve">, conforme </w:t>
      </w:r>
      <w:proofErr w:type="spellStart"/>
      <w:r w:rsidRPr="00F42BE0">
        <w:rPr>
          <w:sz w:val="22"/>
          <w:szCs w:val="22"/>
        </w:rPr>
        <w:t>aos</w:t>
      </w:r>
      <w:proofErr w:type="spellEnd"/>
      <w:r w:rsidRPr="00F42BE0">
        <w:rPr>
          <w:sz w:val="22"/>
          <w:szCs w:val="22"/>
        </w:rPr>
        <w:t xml:space="preserve"> datos e no formato que emane do </w:t>
      </w:r>
      <w:proofErr w:type="spellStart"/>
      <w:r w:rsidRPr="00F42BE0">
        <w:rPr>
          <w:sz w:val="22"/>
          <w:szCs w:val="22"/>
        </w:rPr>
        <w:t>correspondente</w:t>
      </w:r>
      <w:proofErr w:type="spellEnd"/>
      <w:r w:rsidRPr="00F42BE0">
        <w:rPr>
          <w:sz w:val="22"/>
          <w:szCs w:val="22"/>
        </w:rPr>
        <w:t xml:space="preserve"> programa informático que sostén a aplicación contable municipal, e </w:t>
      </w:r>
      <w:proofErr w:type="spellStart"/>
      <w:r w:rsidRPr="00F42BE0">
        <w:rPr>
          <w:sz w:val="22"/>
          <w:szCs w:val="22"/>
        </w:rPr>
        <w:t>nela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porase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manifesto</w:t>
      </w:r>
      <w:proofErr w:type="spellEnd"/>
      <w:r w:rsidRPr="00F42BE0">
        <w:rPr>
          <w:sz w:val="22"/>
          <w:szCs w:val="22"/>
        </w:rPr>
        <w:t>:</w:t>
      </w:r>
    </w:p>
    <w:p w:rsidR="00330A46" w:rsidRPr="00F42BE0" w:rsidRDefault="00330A46" w:rsidP="00330A46">
      <w:pPr>
        <w:ind w:right="94" w:firstLine="709"/>
        <w:jc w:val="both"/>
        <w:rPr>
          <w:sz w:val="22"/>
          <w:szCs w:val="22"/>
        </w:rPr>
      </w:pPr>
    </w:p>
    <w:p w:rsidR="00330A46" w:rsidRPr="00F42BE0" w:rsidRDefault="00330A46" w:rsidP="00330A46">
      <w:pPr>
        <w:numPr>
          <w:ilvl w:val="0"/>
          <w:numId w:val="1"/>
        </w:numPr>
        <w:suppressAutoHyphens w:val="0"/>
        <w:ind w:left="0" w:right="94" w:firstLine="709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En relación </w:t>
      </w:r>
      <w:proofErr w:type="spellStart"/>
      <w:r w:rsidRPr="00F42BE0">
        <w:rPr>
          <w:sz w:val="22"/>
          <w:szCs w:val="22"/>
        </w:rPr>
        <w:t>co</w:t>
      </w:r>
      <w:proofErr w:type="spellEnd"/>
      <w:r w:rsidRPr="00F42BE0">
        <w:rPr>
          <w:sz w:val="22"/>
          <w:szCs w:val="22"/>
        </w:rPr>
        <w:t xml:space="preserve"> Estado de Gastos:</w:t>
      </w:r>
    </w:p>
    <w:p w:rsidR="00330A46" w:rsidRPr="00F42BE0" w:rsidRDefault="00330A46" w:rsidP="00330A46">
      <w:pPr>
        <w:numPr>
          <w:ilvl w:val="0"/>
          <w:numId w:val="2"/>
        </w:numPr>
        <w:tabs>
          <w:tab w:val="num" w:pos="1758"/>
        </w:tabs>
        <w:suppressAutoHyphens w:val="0"/>
        <w:ind w:right="94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Os créditos </w:t>
      </w:r>
      <w:proofErr w:type="spellStart"/>
      <w:r w:rsidRPr="00F42BE0">
        <w:rPr>
          <w:sz w:val="22"/>
          <w:szCs w:val="22"/>
        </w:rPr>
        <w:t>iniciais</w:t>
      </w:r>
      <w:proofErr w:type="spellEnd"/>
      <w:r w:rsidRPr="00F42BE0">
        <w:rPr>
          <w:sz w:val="22"/>
          <w:szCs w:val="22"/>
        </w:rPr>
        <w:t xml:space="preserve">, as </w:t>
      </w:r>
      <w:proofErr w:type="spellStart"/>
      <w:r w:rsidRPr="00F42BE0">
        <w:rPr>
          <w:sz w:val="22"/>
          <w:szCs w:val="22"/>
        </w:rPr>
        <w:t>súas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modificacións</w:t>
      </w:r>
      <w:proofErr w:type="spellEnd"/>
      <w:r w:rsidRPr="00F42BE0">
        <w:rPr>
          <w:sz w:val="22"/>
          <w:szCs w:val="22"/>
        </w:rPr>
        <w:t xml:space="preserve"> (</w:t>
      </w:r>
      <w:proofErr w:type="spellStart"/>
      <w:r w:rsidRPr="00F42BE0">
        <w:rPr>
          <w:sz w:val="22"/>
          <w:szCs w:val="22"/>
        </w:rPr>
        <w:t>distinguindo</w:t>
      </w:r>
      <w:proofErr w:type="spellEnd"/>
      <w:r w:rsidRPr="00F42BE0">
        <w:rPr>
          <w:sz w:val="22"/>
          <w:szCs w:val="22"/>
        </w:rPr>
        <w:t xml:space="preserve"> as </w:t>
      </w:r>
      <w:proofErr w:type="spellStart"/>
      <w:r w:rsidRPr="00F42BE0">
        <w:rPr>
          <w:sz w:val="22"/>
          <w:szCs w:val="22"/>
        </w:rPr>
        <w:t>incorporacións</w:t>
      </w:r>
      <w:proofErr w:type="spellEnd"/>
      <w:r w:rsidRPr="00F42BE0">
        <w:rPr>
          <w:sz w:val="22"/>
          <w:szCs w:val="22"/>
        </w:rPr>
        <w:t xml:space="preserve"> de remanentes de crédito das </w:t>
      </w:r>
      <w:proofErr w:type="spellStart"/>
      <w:r w:rsidRPr="00F42BE0">
        <w:rPr>
          <w:sz w:val="22"/>
          <w:szCs w:val="22"/>
        </w:rPr>
        <w:t>demais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modificacións</w:t>
      </w:r>
      <w:proofErr w:type="spellEnd"/>
      <w:r w:rsidRPr="00F42BE0">
        <w:rPr>
          <w:sz w:val="22"/>
          <w:szCs w:val="22"/>
        </w:rPr>
        <w:t>) e os créditos definitivos.</w:t>
      </w:r>
    </w:p>
    <w:p w:rsidR="00330A46" w:rsidRPr="00F42BE0" w:rsidRDefault="00330A46" w:rsidP="00330A46">
      <w:pPr>
        <w:numPr>
          <w:ilvl w:val="0"/>
          <w:numId w:val="2"/>
        </w:numPr>
        <w:tabs>
          <w:tab w:val="num" w:pos="1758"/>
        </w:tabs>
        <w:suppressAutoHyphens w:val="0"/>
        <w:ind w:right="94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Os gastos autorizados (Fase A) e os comprometidos (Fase D), con indicación da </w:t>
      </w:r>
      <w:proofErr w:type="spellStart"/>
      <w:r w:rsidRPr="00F42BE0">
        <w:rPr>
          <w:sz w:val="22"/>
          <w:szCs w:val="22"/>
        </w:rPr>
        <w:t>porcentaxe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sobre os créditos definitivos.</w:t>
      </w:r>
    </w:p>
    <w:p w:rsidR="00330A46" w:rsidRPr="00F42BE0" w:rsidRDefault="00330A46" w:rsidP="00330A46">
      <w:pPr>
        <w:numPr>
          <w:ilvl w:val="0"/>
          <w:numId w:val="2"/>
        </w:numPr>
        <w:tabs>
          <w:tab w:val="num" w:pos="1758"/>
        </w:tabs>
        <w:suppressAutoHyphens w:val="0"/>
        <w:ind w:right="94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As </w:t>
      </w:r>
      <w:proofErr w:type="spellStart"/>
      <w:r w:rsidRPr="00F42BE0">
        <w:rPr>
          <w:sz w:val="22"/>
          <w:szCs w:val="22"/>
        </w:rPr>
        <w:t>obrigas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recoñecidas</w:t>
      </w:r>
      <w:proofErr w:type="spellEnd"/>
      <w:r w:rsidRPr="00F42BE0">
        <w:rPr>
          <w:sz w:val="22"/>
          <w:szCs w:val="22"/>
        </w:rPr>
        <w:t xml:space="preserve"> netas, con indicación da </w:t>
      </w:r>
      <w:proofErr w:type="spellStart"/>
      <w:r w:rsidRPr="00F42BE0">
        <w:rPr>
          <w:sz w:val="22"/>
          <w:szCs w:val="22"/>
        </w:rPr>
        <w:t>porcentaxe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sobre os créditos definitivos.</w:t>
      </w:r>
    </w:p>
    <w:p w:rsidR="00330A46" w:rsidRPr="00F42BE0" w:rsidRDefault="00330A46" w:rsidP="00330A46">
      <w:pPr>
        <w:numPr>
          <w:ilvl w:val="0"/>
          <w:numId w:val="2"/>
        </w:numPr>
        <w:tabs>
          <w:tab w:val="num" w:pos="1758"/>
        </w:tabs>
        <w:suppressAutoHyphens w:val="0"/>
        <w:ind w:right="94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Os pagamentos realizados, con indicación da </w:t>
      </w:r>
      <w:proofErr w:type="spellStart"/>
      <w:r w:rsidRPr="00F42BE0">
        <w:rPr>
          <w:sz w:val="22"/>
          <w:szCs w:val="22"/>
        </w:rPr>
        <w:t>porcentaxe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sobre as </w:t>
      </w:r>
      <w:proofErr w:type="spellStart"/>
      <w:r w:rsidRPr="00F42BE0">
        <w:rPr>
          <w:sz w:val="22"/>
          <w:szCs w:val="22"/>
        </w:rPr>
        <w:t>obrigas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recoñecidas</w:t>
      </w:r>
      <w:proofErr w:type="spellEnd"/>
      <w:r w:rsidRPr="00F42BE0">
        <w:rPr>
          <w:sz w:val="22"/>
          <w:szCs w:val="22"/>
        </w:rPr>
        <w:t xml:space="preserve"> netas, e as </w:t>
      </w:r>
      <w:proofErr w:type="spellStart"/>
      <w:r w:rsidRPr="00F42BE0">
        <w:rPr>
          <w:sz w:val="22"/>
          <w:szCs w:val="22"/>
        </w:rPr>
        <w:t>obrigas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pendentes</w:t>
      </w:r>
      <w:proofErr w:type="spellEnd"/>
      <w:r w:rsidRPr="00F42BE0">
        <w:rPr>
          <w:sz w:val="22"/>
          <w:szCs w:val="22"/>
        </w:rPr>
        <w:t xml:space="preserve"> de pagamento.</w:t>
      </w:r>
    </w:p>
    <w:p w:rsidR="00330A46" w:rsidRPr="00F42BE0" w:rsidRDefault="00330A46" w:rsidP="00330A46">
      <w:pPr>
        <w:numPr>
          <w:ilvl w:val="0"/>
          <w:numId w:val="2"/>
        </w:numPr>
        <w:tabs>
          <w:tab w:val="num" w:pos="1758"/>
        </w:tabs>
        <w:suppressAutoHyphens w:val="0"/>
        <w:ind w:right="94"/>
        <w:jc w:val="both"/>
        <w:rPr>
          <w:sz w:val="22"/>
          <w:szCs w:val="22"/>
        </w:rPr>
      </w:pPr>
      <w:r w:rsidRPr="00F42BE0">
        <w:rPr>
          <w:sz w:val="22"/>
          <w:szCs w:val="22"/>
        </w:rPr>
        <w:t>Os remanentes de crédito.</w:t>
      </w:r>
    </w:p>
    <w:p w:rsidR="00330A46" w:rsidRPr="00F42BE0" w:rsidRDefault="00330A46" w:rsidP="00330A46">
      <w:pPr>
        <w:numPr>
          <w:ilvl w:val="0"/>
          <w:numId w:val="1"/>
        </w:numPr>
        <w:tabs>
          <w:tab w:val="num" w:pos="1474"/>
        </w:tabs>
        <w:suppressAutoHyphens w:val="0"/>
        <w:ind w:left="0" w:right="94" w:firstLine="709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En relación </w:t>
      </w:r>
      <w:proofErr w:type="spellStart"/>
      <w:r w:rsidRPr="00F42BE0">
        <w:rPr>
          <w:sz w:val="22"/>
          <w:szCs w:val="22"/>
        </w:rPr>
        <w:t>co</w:t>
      </w:r>
      <w:proofErr w:type="spellEnd"/>
      <w:r w:rsidRPr="00F42BE0">
        <w:rPr>
          <w:sz w:val="22"/>
          <w:szCs w:val="22"/>
        </w:rPr>
        <w:t xml:space="preserve"> Estado de Ingresos:</w:t>
      </w:r>
    </w:p>
    <w:p w:rsidR="00330A46" w:rsidRPr="00F42BE0" w:rsidRDefault="00330A46" w:rsidP="00330A46">
      <w:pPr>
        <w:numPr>
          <w:ilvl w:val="0"/>
          <w:numId w:val="3"/>
        </w:numPr>
        <w:tabs>
          <w:tab w:val="num" w:pos="1758"/>
        </w:tabs>
        <w:suppressAutoHyphens w:val="0"/>
        <w:ind w:right="94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As </w:t>
      </w:r>
      <w:proofErr w:type="spellStart"/>
      <w:r w:rsidRPr="00F42BE0">
        <w:rPr>
          <w:sz w:val="22"/>
          <w:szCs w:val="22"/>
        </w:rPr>
        <w:t>previsións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iniciais</w:t>
      </w:r>
      <w:proofErr w:type="spellEnd"/>
      <w:r w:rsidRPr="00F42BE0">
        <w:rPr>
          <w:sz w:val="22"/>
          <w:szCs w:val="22"/>
        </w:rPr>
        <w:t xml:space="preserve">, as </w:t>
      </w:r>
      <w:proofErr w:type="spellStart"/>
      <w:r w:rsidRPr="00F42BE0">
        <w:rPr>
          <w:sz w:val="22"/>
          <w:szCs w:val="22"/>
        </w:rPr>
        <w:t>súas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modificacións</w:t>
      </w:r>
      <w:proofErr w:type="spellEnd"/>
      <w:r w:rsidRPr="00F42BE0">
        <w:rPr>
          <w:sz w:val="22"/>
          <w:szCs w:val="22"/>
        </w:rPr>
        <w:t xml:space="preserve"> e as </w:t>
      </w:r>
      <w:proofErr w:type="spellStart"/>
      <w:r w:rsidRPr="00F42BE0">
        <w:rPr>
          <w:sz w:val="22"/>
          <w:szCs w:val="22"/>
        </w:rPr>
        <w:t>previsións</w:t>
      </w:r>
      <w:proofErr w:type="spellEnd"/>
      <w:r w:rsidRPr="00F42BE0">
        <w:rPr>
          <w:sz w:val="22"/>
          <w:szCs w:val="22"/>
        </w:rPr>
        <w:t xml:space="preserve"> definitivas.</w:t>
      </w:r>
    </w:p>
    <w:p w:rsidR="00330A46" w:rsidRPr="00F42BE0" w:rsidRDefault="00330A46" w:rsidP="00330A46">
      <w:pPr>
        <w:numPr>
          <w:ilvl w:val="0"/>
          <w:numId w:val="3"/>
        </w:numPr>
        <w:tabs>
          <w:tab w:val="num" w:pos="1758"/>
        </w:tabs>
        <w:suppressAutoHyphens w:val="0"/>
        <w:ind w:right="94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Os </w:t>
      </w:r>
      <w:proofErr w:type="spellStart"/>
      <w:r w:rsidRPr="00F42BE0">
        <w:rPr>
          <w:sz w:val="22"/>
          <w:szCs w:val="22"/>
        </w:rPr>
        <w:t>dereitos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recoñecidos</w:t>
      </w:r>
      <w:proofErr w:type="spellEnd"/>
      <w:r w:rsidRPr="00F42BE0">
        <w:rPr>
          <w:sz w:val="22"/>
          <w:szCs w:val="22"/>
        </w:rPr>
        <w:t xml:space="preserve">, os anulados e os cancelados, así como os </w:t>
      </w:r>
      <w:proofErr w:type="spellStart"/>
      <w:r w:rsidRPr="00F42BE0">
        <w:rPr>
          <w:sz w:val="22"/>
          <w:szCs w:val="22"/>
        </w:rPr>
        <w:t>dereitos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recoñecidos</w:t>
      </w:r>
      <w:proofErr w:type="spellEnd"/>
      <w:r w:rsidRPr="00F42BE0">
        <w:rPr>
          <w:sz w:val="22"/>
          <w:szCs w:val="22"/>
        </w:rPr>
        <w:t xml:space="preserve"> netos, con indicación da </w:t>
      </w:r>
      <w:proofErr w:type="spellStart"/>
      <w:r w:rsidRPr="00F42BE0">
        <w:rPr>
          <w:sz w:val="22"/>
          <w:szCs w:val="22"/>
        </w:rPr>
        <w:t>porcentaxe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sobre as </w:t>
      </w:r>
      <w:proofErr w:type="spellStart"/>
      <w:r w:rsidRPr="00F42BE0">
        <w:rPr>
          <w:sz w:val="22"/>
          <w:szCs w:val="22"/>
        </w:rPr>
        <w:t>previsións</w:t>
      </w:r>
      <w:proofErr w:type="spellEnd"/>
      <w:r w:rsidRPr="00F42BE0">
        <w:rPr>
          <w:sz w:val="22"/>
          <w:szCs w:val="22"/>
        </w:rPr>
        <w:t xml:space="preserve"> definitivas, así como a comparación entre ambas as dúas magnitudes.</w:t>
      </w:r>
    </w:p>
    <w:p w:rsidR="00330A46" w:rsidRPr="00F42BE0" w:rsidRDefault="00330A46" w:rsidP="00330A46">
      <w:pPr>
        <w:numPr>
          <w:ilvl w:val="0"/>
          <w:numId w:val="3"/>
        </w:numPr>
        <w:tabs>
          <w:tab w:val="num" w:pos="1758"/>
        </w:tabs>
        <w:suppressAutoHyphens w:val="0"/>
        <w:ind w:right="94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A </w:t>
      </w:r>
      <w:proofErr w:type="spellStart"/>
      <w:r w:rsidRPr="00F42BE0">
        <w:rPr>
          <w:sz w:val="22"/>
          <w:szCs w:val="22"/>
        </w:rPr>
        <w:t>recadación</w:t>
      </w:r>
      <w:proofErr w:type="spellEnd"/>
      <w:r w:rsidRPr="00F42BE0">
        <w:rPr>
          <w:sz w:val="22"/>
          <w:szCs w:val="22"/>
        </w:rPr>
        <w:t xml:space="preserve"> neta, con indicación da </w:t>
      </w:r>
      <w:proofErr w:type="spellStart"/>
      <w:r w:rsidRPr="00F42BE0">
        <w:rPr>
          <w:sz w:val="22"/>
          <w:szCs w:val="22"/>
        </w:rPr>
        <w:t>porcentaxe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sobre os </w:t>
      </w:r>
      <w:proofErr w:type="spellStart"/>
      <w:r w:rsidRPr="00F42BE0">
        <w:rPr>
          <w:sz w:val="22"/>
          <w:szCs w:val="22"/>
        </w:rPr>
        <w:t>dereitos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recoñecidos</w:t>
      </w:r>
      <w:proofErr w:type="spellEnd"/>
      <w:r w:rsidRPr="00F42BE0">
        <w:rPr>
          <w:sz w:val="22"/>
          <w:szCs w:val="22"/>
        </w:rPr>
        <w:t xml:space="preserve"> netos.</w:t>
      </w:r>
    </w:p>
    <w:p w:rsidR="00330A46" w:rsidRPr="00F42BE0" w:rsidRDefault="00330A46" w:rsidP="00330A46">
      <w:pPr>
        <w:numPr>
          <w:ilvl w:val="0"/>
          <w:numId w:val="3"/>
        </w:numPr>
        <w:tabs>
          <w:tab w:val="num" w:pos="1758"/>
        </w:tabs>
        <w:suppressAutoHyphens w:val="0"/>
        <w:ind w:right="94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Os </w:t>
      </w:r>
      <w:proofErr w:type="spellStart"/>
      <w:r w:rsidRPr="00F42BE0">
        <w:rPr>
          <w:sz w:val="22"/>
          <w:szCs w:val="22"/>
        </w:rPr>
        <w:t>dereitos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pendentes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cobramento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numPr>
          <w:ilvl w:val="0"/>
          <w:numId w:val="1"/>
        </w:numPr>
        <w:suppressAutoHyphens w:val="0"/>
        <w:ind w:left="0" w:right="94" w:firstLine="709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O Resultado </w:t>
      </w:r>
      <w:proofErr w:type="spellStart"/>
      <w:r w:rsidRPr="00F42BE0">
        <w:rPr>
          <w:sz w:val="22"/>
          <w:szCs w:val="22"/>
        </w:rPr>
        <w:t>Presupostario</w:t>
      </w:r>
      <w:proofErr w:type="spellEnd"/>
      <w:r w:rsidRPr="00F42BE0">
        <w:rPr>
          <w:sz w:val="22"/>
          <w:szCs w:val="22"/>
        </w:rPr>
        <w:t xml:space="preserve"> antes de </w:t>
      </w:r>
      <w:proofErr w:type="spellStart"/>
      <w:r w:rsidRPr="00F42BE0">
        <w:rPr>
          <w:sz w:val="22"/>
          <w:szCs w:val="22"/>
        </w:rPr>
        <w:t>axustes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ind w:right="94"/>
        <w:jc w:val="both"/>
        <w:rPr>
          <w:sz w:val="22"/>
          <w:szCs w:val="22"/>
        </w:rPr>
      </w:pPr>
    </w:p>
    <w:p w:rsidR="00330A46" w:rsidRPr="00F42BE0" w:rsidRDefault="00330A46" w:rsidP="00330A46">
      <w:pPr>
        <w:pStyle w:val="Sangra2detindependiente"/>
        <w:spacing w:line="240" w:lineRule="auto"/>
        <w:ind w:left="284"/>
        <w:rPr>
          <w:sz w:val="22"/>
          <w:szCs w:val="22"/>
        </w:rPr>
      </w:pPr>
    </w:p>
    <w:p w:rsidR="00330A46" w:rsidRPr="00F42BE0" w:rsidRDefault="00330A46" w:rsidP="00330A46">
      <w:pPr>
        <w:pStyle w:val="Sangra2detindependiente"/>
        <w:spacing w:line="240" w:lineRule="auto"/>
        <w:ind w:left="284"/>
        <w:rPr>
          <w:b/>
          <w:sz w:val="22"/>
          <w:szCs w:val="22"/>
        </w:rPr>
      </w:pPr>
      <w:proofErr w:type="spellStart"/>
      <w:r w:rsidRPr="00F42BE0">
        <w:rPr>
          <w:sz w:val="22"/>
          <w:szCs w:val="22"/>
        </w:rPr>
        <w:t>Neste</w:t>
      </w:r>
      <w:proofErr w:type="spellEnd"/>
      <w:r w:rsidRPr="00F42BE0">
        <w:rPr>
          <w:sz w:val="22"/>
          <w:szCs w:val="22"/>
        </w:rPr>
        <w:t xml:space="preserve"> sentido, dos datos emanados da </w:t>
      </w:r>
      <w:proofErr w:type="spellStart"/>
      <w:r w:rsidRPr="00F42BE0">
        <w:rPr>
          <w:sz w:val="22"/>
          <w:szCs w:val="22"/>
        </w:rPr>
        <w:t>contabilidade</w:t>
      </w:r>
      <w:proofErr w:type="spellEnd"/>
      <w:r w:rsidRPr="00F42BE0">
        <w:rPr>
          <w:sz w:val="22"/>
          <w:szCs w:val="22"/>
        </w:rPr>
        <w:t xml:space="preserve"> municipal no </w:t>
      </w:r>
      <w:proofErr w:type="spellStart"/>
      <w:r w:rsidRPr="00F42BE0">
        <w:rPr>
          <w:sz w:val="22"/>
          <w:szCs w:val="22"/>
        </w:rPr>
        <w:t>primeiro</w:t>
      </w:r>
      <w:proofErr w:type="spellEnd"/>
      <w:r w:rsidRPr="00F42BE0">
        <w:rPr>
          <w:sz w:val="22"/>
          <w:szCs w:val="22"/>
        </w:rPr>
        <w:t xml:space="preserve"> semestre do </w:t>
      </w:r>
      <w:proofErr w:type="spellStart"/>
      <w:r w:rsidRPr="00F42BE0">
        <w:rPr>
          <w:sz w:val="22"/>
          <w:szCs w:val="22"/>
        </w:rPr>
        <w:t>exercicio</w:t>
      </w:r>
      <w:proofErr w:type="spellEnd"/>
      <w:r w:rsidRPr="00F42BE0">
        <w:rPr>
          <w:sz w:val="22"/>
          <w:szCs w:val="22"/>
        </w:rPr>
        <w:t xml:space="preserve"> poden extraerse o </w:t>
      </w:r>
      <w:proofErr w:type="spellStart"/>
      <w:r w:rsidRPr="00F42BE0">
        <w:rPr>
          <w:sz w:val="22"/>
          <w:szCs w:val="22"/>
        </w:rPr>
        <w:t>seguinte</w:t>
      </w:r>
      <w:proofErr w:type="spellEnd"/>
      <w:r w:rsidRPr="00F42BE0">
        <w:rPr>
          <w:sz w:val="22"/>
          <w:szCs w:val="22"/>
        </w:rPr>
        <w:t xml:space="preserve"> resumo das magnitudes </w:t>
      </w:r>
      <w:proofErr w:type="spellStart"/>
      <w:r w:rsidRPr="00F42BE0">
        <w:rPr>
          <w:sz w:val="22"/>
          <w:szCs w:val="22"/>
        </w:rPr>
        <w:t>máis</w:t>
      </w:r>
      <w:proofErr w:type="spellEnd"/>
      <w:r w:rsidRPr="00F42BE0">
        <w:rPr>
          <w:sz w:val="22"/>
          <w:szCs w:val="22"/>
        </w:rPr>
        <w:t xml:space="preserve"> importantes, </w:t>
      </w:r>
      <w:r w:rsidRPr="00F42BE0">
        <w:rPr>
          <w:b/>
          <w:sz w:val="22"/>
          <w:szCs w:val="22"/>
        </w:rPr>
        <w:t xml:space="preserve">na </w:t>
      </w:r>
      <w:proofErr w:type="spellStart"/>
      <w:r w:rsidRPr="00F42BE0">
        <w:rPr>
          <w:b/>
          <w:sz w:val="22"/>
          <w:szCs w:val="22"/>
        </w:rPr>
        <w:t>maior</w:t>
      </w:r>
      <w:proofErr w:type="spellEnd"/>
      <w:r w:rsidRPr="00F42BE0">
        <w:rPr>
          <w:b/>
          <w:sz w:val="22"/>
          <w:szCs w:val="22"/>
        </w:rPr>
        <w:t xml:space="preserve"> parte como mera elevación dos datos </w:t>
      </w:r>
      <w:proofErr w:type="spellStart"/>
      <w:r w:rsidRPr="00F42BE0">
        <w:rPr>
          <w:b/>
          <w:sz w:val="22"/>
          <w:szCs w:val="22"/>
        </w:rPr>
        <w:t>semestrais</w:t>
      </w:r>
      <w:proofErr w:type="spellEnd"/>
      <w:r w:rsidRPr="00F42BE0">
        <w:rPr>
          <w:b/>
          <w:sz w:val="22"/>
          <w:szCs w:val="22"/>
        </w:rPr>
        <w:t xml:space="preserve"> a </w:t>
      </w:r>
      <w:proofErr w:type="spellStart"/>
      <w:r w:rsidRPr="00F42BE0">
        <w:rPr>
          <w:b/>
          <w:sz w:val="22"/>
          <w:szCs w:val="22"/>
        </w:rPr>
        <w:t>anuais</w:t>
      </w:r>
      <w:proofErr w:type="spellEnd"/>
      <w:r w:rsidRPr="00F42BE0">
        <w:rPr>
          <w:b/>
          <w:sz w:val="22"/>
          <w:szCs w:val="22"/>
        </w:rPr>
        <w:t xml:space="preserve"> </w:t>
      </w:r>
      <w:proofErr w:type="spellStart"/>
      <w:r w:rsidRPr="00F42BE0">
        <w:rPr>
          <w:b/>
          <w:sz w:val="22"/>
          <w:szCs w:val="22"/>
        </w:rPr>
        <w:t>pola</w:t>
      </w:r>
      <w:proofErr w:type="spellEnd"/>
      <w:r w:rsidRPr="00F42BE0">
        <w:rPr>
          <w:b/>
          <w:sz w:val="22"/>
          <w:szCs w:val="22"/>
        </w:rPr>
        <w:t xml:space="preserve"> falta de datos </w:t>
      </w:r>
      <w:proofErr w:type="spellStart"/>
      <w:r w:rsidRPr="00F42BE0">
        <w:rPr>
          <w:b/>
          <w:sz w:val="22"/>
          <w:szCs w:val="22"/>
        </w:rPr>
        <w:t>máis</w:t>
      </w:r>
      <w:proofErr w:type="spellEnd"/>
      <w:r w:rsidRPr="00F42BE0">
        <w:rPr>
          <w:b/>
          <w:sz w:val="22"/>
          <w:szCs w:val="22"/>
        </w:rPr>
        <w:t xml:space="preserve"> específicos e da medios para </w:t>
      </w:r>
      <w:proofErr w:type="spellStart"/>
      <w:r w:rsidRPr="00F42BE0">
        <w:rPr>
          <w:b/>
          <w:sz w:val="22"/>
          <w:szCs w:val="22"/>
        </w:rPr>
        <w:t>unha</w:t>
      </w:r>
      <w:proofErr w:type="spellEnd"/>
      <w:r w:rsidRPr="00F42BE0">
        <w:rPr>
          <w:b/>
          <w:sz w:val="22"/>
          <w:szCs w:val="22"/>
        </w:rPr>
        <w:t xml:space="preserve"> simulación </w:t>
      </w:r>
      <w:proofErr w:type="spellStart"/>
      <w:r w:rsidRPr="00F42BE0">
        <w:rPr>
          <w:b/>
          <w:sz w:val="22"/>
          <w:szCs w:val="22"/>
        </w:rPr>
        <w:t>estatística</w:t>
      </w:r>
      <w:proofErr w:type="spellEnd"/>
      <w:r w:rsidRPr="00F42BE0">
        <w:rPr>
          <w:b/>
          <w:sz w:val="22"/>
          <w:szCs w:val="22"/>
        </w:rPr>
        <w:t xml:space="preserve"> </w:t>
      </w:r>
      <w:proofErr w:type="spellStart"/>
      <w:r w:rsidRPr="00F42BE0">
        <w:rPr>
          <w:b/>
          <w:sz w:val="22"/>
          <w:szCs w:val="22"/>
        </w:rPr>
        <w:t>máis</w:t>
      </w:r>
      <w:proofErr w:type="spellEnd"/>
      <w:r w:rsidRPr="00F42BE0">
        <w:rPr>
          <w:b/>
          <w:sz w:val="22"/>
          <w:szCs w:val="22"/>
        </w:rPr>
        <w:t xml:space="preserve"> fiable. </w:t>
      </w:r>
    </w:p>
    <w:p w:rsidR="00330A46" w:rsidRPr="00F42BE0" w:rsidRDefault="00330A46" w:rsidP="00330A46">
      <w:pPr>
        <w:tabs>
          <w:tab w:val="left" w:pos="-1701"/>
          <w:tab w:val="left" w:pos="-1440"/>
          <w:tab w:val="left" w:pos="-1276"/>
          <w:tab w:val="left" w:pos="-993"/>
          <w:tab w:val="left" w:pos="-851"/>
          <w:tab w:val="left" w:pos="-720"/>
          <w:tab w:val="left" w:pos="-567"/>
        </w:tabs>
        <w:jc w:val="both"/>
        <w:rPr>
          <w:sz w:val="22"/>
          <w:szCs w:val="22"/>
        </w:rPr>
      </w:pPr>
    </w:p>
    <w:p w:rsidR="00330A46" w:rsidRPr="00F42BE0" w:rsidRDefault="00330A46" w:rsidP="00330A46">
      <w:pPr>
        <w:tabs>
          <w:tab w:val="left" w:pos="-2127"/>
          <w:tab w:val="left" w:pos="-1701"/>
          <w:tab w:val="left" w:pos="-1560"/>
          <w:tab w:val="left" w:pos="-1418"/>
          <w:tab w:val="left" w:pos="-720"/>
        </w:tabs>
        <w:jc w:val="both"/>
        <w:rPr>
          <w:sz w:val="22"/>
          <w:szCs w:val="22"/>
        </w:rPr>
      </w:pPr>
      <w:proofErr w:type="spellStart"/>
      <w:r w:rsidRPr="00F42BE0">
        <w:rPr>
          <w:sz w:val="22"/>
          <w:szCs w:val="22"/>
        </w:rPr>
        <w:t>Agora</w:t>
      </w:r>
      <w:proofErr w:type="spellEnd"/>
      <w:r w:rsidRPr="00F42BE0">
        <w:rPr>
          <w:sz w:val="22"/>
          <w:szCs w:val="22"/>
        </w:rPr>
        <w:t xml:space="preserve"> ben, debe terse en </w:t>
      </w:r>
      <w:proofErr w:type="spellStart"/>
      <w:r w:rsidRPr="00F42BE0">
        <w:rPr>
          <w:sz w:val="22"/>
          <w:szCs w:val="22"/>
        </w:rPr>
        <w:t>conta</w:t>
      </w:r>
      <w:proofErr w:type="spellEnd"/>
      <w:r w:rsidRPr="00F42BE0">
        <w:rPr>
          <w:sz w:val="22"/>
          <w:szCs w:val="22"/>
        </w:rPr>
        <w:t xml:space="preserve"> que está </w:t>
      </w:r>
      <w:proofErr w:type="spellStart"/>
      <w:r w:rsidRPr="00F42BE0">
        <w:rPr>
          <w:sz w:val="22"/>
          <w:szCs w:val="22"/>
        </w:rPr>
        <w:t>incoporado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orzamento</w:t>
      </w:r>
      <w:proofErr w:type="spellEnd"/>
      <w:r w:rsidRPr="00F42BE0">
        <w:rPr>
          <w:sz w:val="22"/>
          <w:szCs w:val="22"/>
        </w:rPr>
        <w:t xml:space="preserve"> de 2017 a modificación </w:t>
      </w:r>
      <w:proofErr w:type="spellStart"/>
      <w:r w:rsidRPr="00F42BE0">
        <w:rPr>
          <w:sz w:val="22"/>
          <w:szCs w:val="22"/>
        </w:rPr>
        <w:t>orzamentaria</w:t>
      </w:r>
      <w:proofErr w:type="spellEnd"/>
      <w:r w:rsidRPr="00F42BE0">
        <w:rPr>
          <w:sz w:val="22"/>
          <w:szCs w:val="22"/>
        </w:rPr>
        <w:t xml:space="preserve"> do </w:t>
      </w:r>
      <w:proofErr w:type="spellStart"/>
      <w:r w:rsidRPr="00F42BE0">
        <w:rPr>
          <w:sz w:val="22"/>
          <w:szCs w:val="22"/>
        </w:rPr>
        <w:t>emprego</w:t>
      </w:r>
      <w:proofErr w:type="spellEnd"/>
      <w:r w:rsidRPr="00F42BE0">
        <w:rPr>
          <w:sz w:val="22"/>
          <w:szCs w:val="22"/>
        </w:rPr>
        <w:t xml:space="preserve"> do remanente de </w:t>
      </w:r>
      <w:proofErr w:type="spellStart"/>
      <w:r w:rsidRPr="00F42BE0">
        <w:rPr>
          <w:sz w:val="22"/>
          <w:szCs w:val="22"/>
        </w:rPr>
        <w:t>tesourería</w:t>
      </w:r>
      <w:proofErr w:type="spellEnd"/>
      <w:r w:rsidRPr="00F42BE0">
        <w:rPr>
          <w:sz w:val="22"/>
          <w:szCs w:val="22"/>
        </w:rPr>
        <w:t xml:space="preserve">, polo que pode </w:t>
      </w:r>
      <w:proofErr w:type="spellStart"/>
      <w:r w:rsidRPr="00F42BE0">
        <w:rPr>
          <w:sz w:val="22"/>
          <w:szCs w:val="22"/>
        </w:rPr>
        <w:t>efectar</w:t>
      </w:r>
      <w:proofErr w:type="spellEnd"/>
      <w:r w:rsidRPr="00F42BE0">
        <w:rPr>
          <w:sz w:val="22"/>
          <w:szCs w:val="22"/>
        </w:rPr>
        <w:t xml:space="preserve"> </w:t>
      </w:r>
      <w:r w:rsidRPr="00F42BE0">
        <w:rPr>
          <w:b/>
          <w:sz w:val="22"/>
          <w:szCs w:val="22"/>
        </w:rPr>
        <w:t>substancialmente</w:t>
      </w:r>
      <w:r w:rsidRPr="00F42BE0">
        <w:rPr>
          <w:sz w:val="22"/>
          <w:szCs w:val="22"/>
        </w:rPr>
        <w:t xml:space="preserve">. </w:t>
      </w:r>
    </w:p>
    <w:p w:rsidR="00330A46" w:rsidRPr="00F42BE0" w:rsidRDefault="00330A46" w:rsidP="00330A46">
      <w:pPr>
        <w:tabs>
          <w:tab w:val="left" w:pos="-2127"/>
          <w:tab w:val="left" w:pos="-1701"/>
          <w:tab w:val="left" w:pos="-1560"/>
          <w:tab w:val="left" w:pos="-1418"/>
          <w:tab w:val="left" w:pos="-720"/>
        </w:tabs>
        <w:ind w:firstLine="720"/>
        <w:jc w:val="both"/>
        <w:rPr>
          <w:sz w:val="22"/>
          <w:szCs w:val="22"/>
          <w:u w:val="single"/>
        </w:rPr>
      </w:pPr>
    </w:p>
    <w:p w:rsidR="00330A46" w:rsidRPr="00F42BE0" w:rsidRDefault="00330A46" w:rsidP="00330A46">
      <w:pPr>
        <w:tabs>
          <w:tab w:val="left" w:pos="-1440"/>
          <w:tab w:val="left" w:pos="-720"/>
          <w:tab w:val="left" w:pos="0"/>
          <w:tab w:val="left" w:pos="720"/>
          <w:tab w:val="left" w:pos="1326"/>
          <w:tab w:val="left" w:pos="1440"/>
          <w:tab w:val="left" w:pos="1815"/>
        </w:tabs>
        <w:ind w:firstLine="720"/>
        <w:jc w:val="both"/>
        <w:rPr>
          <w:sz w:val="22"/>
          <w:szCs w:val="22"/>
        </w:rPr>
      </w:pPr>
      <w:r w:rsidRPr="00F42BE0">
        <w:rPr>
          <w:b/>
          <w:bCs/>
          <w:sz w:val="22"/>
          <w:szCs w:val="22"/>
        </w:rPr>
        <w:t>II. ESTIMACIÓN DE LIQUIDACIÓN A 31 DE DECEMBRO:</w:t>
      </w:r>
    </w:p>
    <w:p w:rsidR="00330A46" w:rsidRPr="00F42BE0" w:rsidRDefault="00330A46" w:rsidP="00330A46">
      <w:pPr>
        <w:tabs>
          <w:tab w:val="left" w:pos="-1440"/>
          <w:tab w:val="left" w:pos="-720"/>
          <w:tab w:val="left" w:pos="0"/>
          <w:tab w:val="left" w:pos="720"/>
          <w:tab w:val="left" w:pos="1326"/>
          <w:tab w:val="left" w:pos="1440"/>
          <w:tab w:val="left" w:pos="1815"/>
        </w:tabs>
        <w:jc w:val="both"/>
        <w:rPr>
          <w:sz w:val="22"/>
          <w:szCs w:val="22"/>
        </w:rPr>
      </w:pPr>
    </w:p>
    <w:p w:rsidR="00330A46" w:rsidRPr="00F42BE0" w:rsidRDefault="00330A46" w:rsidP="00330A46">
      <w:pPr>
        <w:pStyle w:val="Sangra2detindependiente"/>
        <w:spacing w:line="240" w:lineRule="auto"/>
        <w:ind w:left="284"/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Segundo establece a ICAL e as BEP, a Segunda Parte do Avance da Liquidación </w:t>
      </w:r>
      <w:proofErr w:type="spellStart"/>
      <w:r w:rsidRPr="00F42BE0">
        <w:rPr>
          <w:sz w:val="22"/>
          <w:szCs w:val="22"/>
        </w:rPr>
        <w:t>porá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manifesto</w:t>
      </w:r>
      <w:proofErr w:type="spellEnd"/>
      <w:r w:rsidRPr="00F42BE0">
        <w:rPr>
          <w:sz w:val="22"/>
          <w:szCs w:val="22"/>
        </w:rPr>
        <w:t xml:space="preserve"> os importes que se estime presentará a Liquidación do </w:t>
      </w:r>
      <w:proofErr w:type="spellStart"/>
      <w:r w:rsidRPr="00F42BE0">
        <w:rPr>
          <w:sz w:val="22"/>
          <w:szCs w:val="22"/>
        </w:rPr>
        <w:t>Presuposto</w:t>
      </w:r>
      <w:proofErr w:type="spellEnd"/>
      <w:r w:rsidRPr="00F42BE0">
        <w:rPr>
          <w:sz w:val="22"/>
          <w:szCs w:val="22"/>
        </w:rPr>
        <w:t xml:space="preserve"> do </w:t>
      </w:r>
      <w:proofErr w:type="spellStart"/>
      <w:r w:rsidRPr="00F42BE0">
        <w:rPr>
          <w:sz w:val="22"/>
          <w:szCs w:val="22"/>
        </w:rPr>
        <w:t>exercicio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</w:t>
      </w:r>
      <w:r w:rsidRPr="00F42BE0">
        <w:rPr>
          <w:sz w:val="22"/>
          <w:szCs w:val="22"/>
        </w:rPr>
        <w:lastRenderedPageBreak/>
        <w:t xml:space="preserve">final </w:t>
      </w:r>
      <w:proofErr w:type="spellStart"/>
      <w:r w:rsidRPr="00F42BE0">
        <w:rPr>
          <w:sz w:val="22"/>
          <w:szCs w:val="22"/>
        </w:rPr>
        <w:t>deste</w:t>
      </w:r>
      <w:proofErr w:type="spellEnd"/>
      <w:r w:rsidRPr="00F42BE0">
        <w:rPr>
          <w:sz w:val="22"/>
          <w:szCs w:val="22"/>
        </w:rPr>
        <w:t xml:space="preserve">, expresando, nivel de Capítulo. Se </w:t>
      </w:r>
      <w:proofErr w:type="spellStart"/>
      <w:r w:rsidRPr="00F42BE0">
        <w:rPr>
          <w:sz w:val="22"/>
          <w:szCs w:val="22"/>
        </w:rPr>
        <w:t>achega</w:t>
      </w:r>
      <w:proofErr w:type="spellEnd"/>
      <w:r w:rsidRPr="00F42BE0">
        <w:rPr>
          <w:sz w:val="22"/>
          <w:szCs w:val="22"/>
        </w:rPr>
        <w:t xml:space="preserve"> cuadro anexo coas </w:t>
      </w:r>
      <w:proofErr w:type="spellStart"/>
      <w:r w:rsidRPr="00F42BE0">
        <w:rPr>
          <w:sz w:val="22"/>
          <w:szCs w:val="22"/>
        </w:rPr>
        <w:t>estimacións</w:t>
      </w:r>
      <w:proofErr w:type="spellEnd"/>
      <w:r w:rsidRPr="00F42BE0">
        <w:rPr>
          <w:sz w:val="22"/>
          <w:szCs w:val="22"/>
        </w:rPr>
        <w:t xml:space="preserve"> da evolución dos créditos e das </w:t>
      </w:r>
      <w:proofErr w:type="spellStart"/>
      <w:r w:rsidRPr="00F42BE0">
        <w:rPr>
          <w:sz w:val="22"/>
          <w:szCs w:val="22"/>
        </w:rPr>
        <w:t>obrigas</w:t>
      </w:r>
      <w:proofErr w:type="spellEnd"/>
      <w:r w:rsidRPr="00F42BE0">
        <w:rPr>
          <w:sz w:val="22"/>
          <w:szCs w:val="22"/>
        </w:rPr>
        <w:t xml:space="preserve"> previstas </w:t>
      </w:r>
      <w:proofErr w:type="spellStart"/>
      <w:r w:rsidRPr="00F42BE0">
        <w:rPr>
          <w:sz w:val="22"/>
          <w:szCs w:val="22"/>
        </w:rPr>
        <w:t>cos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seguintes</w:t>
      </w:r>
      <w:proofErr w:type="spellEnd"/>
      <w:r w:rsidRPr="00F42BE0">
        <w:rPr>
          <w:sz w:val="22"/>
          <w:szCs w:val="22"/>
        </w:rPr>
        <w:t xml:space="preserve"> matices e </w:t>
      </w:r>
      <w:proofErr w:type="spellStart"/>
      <w:r w:rsidRPr="00F42BE0">
        <w:rPr>
          <w:sz w:val="22"/>
          <w:szCs w:val="22"/>
        </w:rPr>
        <w:t>axustes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pStyle w:val="Sangra2detindependiente"/>
        <w:spacing w:line="240" w:lineRule="auto"/>
        <w:ind w:left="284"/>
        <w:jc w:val="both"/>
        <w:rPr>
          <w:sz w:val="22"/>
          <w:szCs w:val="22"/>
          <w:u w:val="single"/>
        </w:rPr>
      </w:pPr>
      <w:r w:rsidRPr="00F42BE0">
        <w:rPr>
          <w:sz w:val="22"/>
          <w:szCs w:val="22"/>
        </w:rPr>
        <w:t xml:space="preserve">Os importes non </w:t>
      </w:r>
      <w:proofErr w:type="spellStart"/>
      <w:r w:rsidRPr="00F42BE0">
        <w:rPr>
          <w:sz w:val="22"/>
          <w:szCs w:val="22"/>
        </w:rPr>
        <w:t>supoñen</w:t>
      </w:r>
      <w:proofErr w:type="spellEnd"/>
      <w:r w:rsidRPr="00F42BE0">
        <w:rPr>
          <w:sz w:val="22"/>
          <w:szCs w:val="22"/>
        </w:rPr>
        <w:t xml:space="preserve"> compromisos </w:t>
      </w:r>
      <w:proofErr w:type="spellStart"/>
      <w:r w:rsidRPr="00F42BE0">
        <w:rPr>
          <w:sz w:val="22"/>
          <w:szCs w:val="22"/>
        </w:rPr>
        <w:t>ou</w:t>
      </w:r>
      <w:proofErr w:type="spellEnd"/>
      <w:r w:rsidRPr="00F42BE0">
        <w:rPr>
          <w:sz w:val="22"/>
          <w:szCs w:val="22"/>
        </w:rPr>
        <w:t xml:space="preserve"> datos </w:t>
      </w:r>
      <w:proofErr w:type="spellStart"/>
      <w:r w:rsidRPr="00F42BE0">
        <w:rPr>
          <w:sz w:val="22"/>
          <w:szCs w:val="22"/>
        </w:rPr>
        <w:t>certos</w:t>
      </w:r>
      <w:proofErr w:type="spellEnd"/>
      <w:r w:rsidRPr="00F42BE0">
        <w:rPr>
          <w:sz w:val="22"/>
          <w:szCs w:val="22"/>
        </w:rPr>
        <w:t xml:space="preserve">, se non meras </w:t>
      </w:r>
      <w:proofErr w:type="spellStart"/>
      <w:r w:rsidRPr="00F42BE0">
        <w:rPr>
          <w:sz w:val="22"/>
          <w:szCs w:val="22"/>
        </w:rPr>
        <w:t>previsións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ou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estimacións</w:t>
      </w:r>
      <w:proofErr w:type="spellEnd"/>
      <w:r w:rsidRPr="00F42BE0">
        <w:rPr>
          <w:sz w:val="22"/>
          <w:szCs w:val="22"/>
        </w:rPr>
        <w:t xml:space="preserve"> realizadas sobre os importes </w:t>
      </w:r>
      <w:proofErr w:type="spellStart"/>
      <w:r w:rsidRPr="00F42BE0">
        <w:rPr>
          <w:sz w:val="22"/>
          <w:szCs w:val="22"/>
        </w:rPr>
        <w:t>xa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recoñecidos</w:t>
      </w:r>
      <w:proofErr w:type="spellEnd"/>
      <w:r w:rsidRPr="00F42BE0">
        <w:rPr>
          <w:sz w:val="22"/>
          <w:szCs w:val="22"/>
        </w:rPr>
        <w:t xml:space="preserve"> a data do </w:t>
      </w:r>
      <w:proofErr w:type="spellStart"/>
      <w:r w:rsidRPr="00F42BE0">
        <w:rPr>
          <w:sz w:val="22"/>
          <w:szCs w:val="22"/>
        </w:rPr>
        <w:t>terceiro</w:t>
      </w:r>
      <w:proofErr w:type="spellEnd"/>
      <w:r w:rsidRPr="00F42BE0">
        <w:rPr>
          <w:sz w:val="22"/>
          <w:szCs w:val="22"/>
        </w:rPr>
        <w:t xml:space="preserve"> trimestre de 2016 e </w:t>
      </w:r>
      <w:proofErr w:type="spellStart"/>
      <w:r w:rsidRPr="00F42BE0">
        <w:rPr>
          <w:sz w:val="22"/>
          <w:szCs w:val="22"/>
        </w:rPr>
        <w:t>cos</w:t>
      </w:r>
      <w:proofErr w:type="spellEnd"/>
      <w:r w:rsidRPr="00F42BE0">
        <w:rPr>
          <w:sz w:val="22"/>
          <w:szCs w:val="22"/>
        </w:rPr>
        <w:t xml:space="preserve"> datos </w:t>
      </w:r>
      <w:proofErr w:type="spellStart"/>
      <w:r w:rsidRPr="00F42BE0">
        <w:rPr>
          <w:sz w:val="22"/>
          <w:szCs w:val="22"/>
        </w:rPr>
        <w:t>incoporados</w:t>
      </w:r>
      <w:proofErr w:type="spellEnd"/>
      <w:r w:rsidRPr="00F42BE0">
        <w:rPr>
          <w:sz w:val="22"/>
          <w:szCs w:val="22"/>
        </w:rPr>
        <w:t xml:space="preserve"> do cuarto trimestre do </w:t>
      </w:r>
      <w:proofErr w:type="spellStart"/>
      <w:r w:rsidRPr="00F42BE0">
        <w:rPr>
          <w:sz w:val="22"/>
          <w:szCs w:val="22"/>
        </w:rPr>
        <w:t>exercicio</w:t>
      </w:r>
      <w:proofErr w:type="spellEnd"/>
      <w:r w:rsidRPr="00F42BE0">
        <w:rPr>
          <w:sz w:val="22"/>
          <w:szCs w:val="22"/>
        </w:rPr>
        <w:t xml:space="preserve"> anterior, agás </w:t>
      </w:r>
      <w:proofErr w:type="spellStart"/>
      <w:r w:rsidRPr="00F42BE0">
        <w:rPr>
          <w:sz w:val="22"/>
          <w:szCs w:val="22"/>
        </w:rPr>
        <w:t>excepcións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puntuais</w:t>
      </w:r>
      <w:proofErr w:type="spellEnd"/>
      <w:r w:rsidRPr="00F42BE0">
        <w:rPr>
          <w:sz w:val="22"/>
          <w:szCs w:val="22"/>
        </w:rPr>
        <w:t>. Por tanto  o</w:t>
      </w:r>
      <w:r w:rsidRPr="00F42BE0">
        <w:rPr>
          <w:sz w:val="22"/>
          <w:szCs w:val="22"/>
          <w:u w:val="single"/>
        </w:rPr>
        <w:t xml:space="preserve">s importes están </w:t>
      </w:r>
      <w:proofErr w:type="spellStart"/>
      <w:r w:rsidRPr="00F42BE0">
        <w:rPr>
          <w:sz w:val="22"/>
          <w:szCs w:val="22"/>
          <w:u w:val="single"/>
        </w:rPr>
        <w:t>suxeitos</w:t>
      </w:r>
      <w:proofErr w:type="spellEnd"/>
      <w:r w:rsidRPr="00F42BE0">
        <w:rPr>
          <w:sz w:val="22"/>
          <w:szCs w:val="22"/>
          <w:u w:val="single"/>
        </w:rPr>
        <w:t xml:space="preserve"> a </w:t>
      </w:r>
      <w:proofErr w:type="spellStart"/>
      <w:r w:rsidRPr="00F42BE0">
        <w:rPr>
          <w:sz w:val="22"/>
          <w:szCs w:val="22"/>
          <w:u w:val="single"/>
        </w:rPr>
        <w:t>variacións</w:t>
      </w:r>
      <w:proofErr w:type="spellEnd"/>
      <w:r w:rsidRPr="00F42BE0">
        <w:rPr>
          <w:sz w:val="22"/>
          <w:szCs w:val="22"/>
          <w:u w:val="single"/>
        </w:rPr>
        <w:t xml:space="preserve"> positivas </w:t>
      </w:r>
      <w:proofErr w:type="spellStart"/>
      <w:r w:rsidRPr="00F42BE0">
        <w:rPr>
          <w:sz w:val="22"/>
          <w:szCs w:val="22"/>
          <w:u w:val="single"/>
        </w:rPr>
        <w:t>ou</w:t>
      </w:r>
      <w:proofErr w:type="spellEnd"/>
      <w:r w:rsidRPr="00F42BE0">
        <w:rPr>
          <w:sz w:val="22"/>
          <w:szCs w:val="22"/>
          <w:u w:val="single"/>
        </w:rPr>
        <w:t xml:space="preserve"> negativas, </w:t>
      </w:r>
      <w:proofErr w:type="spellStart"/>
      <w:r w:rsidRPr="00F42BE0">
        <w:rPr>
          <w:sz w:val="22"/>
          <w:szCs w:val="22"/>
          <w:u w:val="single"/>
        </w:rPr>
        <w:t>modificacións</w:t>
      </w:r>
      <w:proofErr w:type="spellEnd"/>
      <w:r w:rsidRPr="00F42BE0">
        <w:rPr>
          <w:sz w:val="22"/>
          <w:szCs w:val="22"/>
          <w:u w:val="single"/>
        </w:rPr>
        <w:t xml:space="preserve"> </w:t>
      </w:r>
      <w:proofErr w:type="spellStart"/>
      <w:r w:rsidRPr="00F42BE0">
        <w:rPr>
          <w:sz w:val="22"/>
          <w:szCs w:val="22"/>
          <w:u w:val="single"/>
        </w:rPr>
        <w:t>orzamentarias</w:t>
      </w:r>
      <w:proofErr w:type="spellEnd"/>
      <w:r w:rsidRPr="00F42BE0">
        <w:rPr>
          <w:sz w:val="22"/>
          <w:szCs w:val="22"/>
          <w:u w:val="single"/>
        </w:rPr>
        <w:t xml:space="preserve"> polo que deben ser tratadas como meras </w:t>
      </w:r>
      <w:proofErr w:type="spellStart"/>
      <w:r w:rsidRPr="00F42BE0">
        <w:rPr>
          <w:sz w:val="22"/>
          <w:szCs w:val="22"/>
          <w:u w:val="single"/>
        </w:rPr>
        <w:t>previsións</w:t>
      </w:r>
      <w:proofErr w:type="spellEnd"/>
      <w:r w:rsidRPr="00F42BE0">
        <w:rPr>
          <w:sz w:val="22"/>
          <w:szCs w:val="22"/>
          <w:u w:val="single"/>
        </w:rPr>
        <w:t>.</w:t>
      </w: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89"/>
        <w:gridCol w:w="844"/>
        <w:gridCol w:w="1044"/>
        <w:gridCol w:w="840"/>
        <w:gridCol w:w="1211"/>
        <w:gridCol w:w="1134"/>
        <w:gridCol w:w="1782"/>
      </w:tblGrid>
      <w:tr w:rsidR="00330A46" w:rsidRPr="00F42BE0" w:rsidTr="00330A46">
        <w:trPr>
          <w:trHeight w:val="25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96" w:type="pct"/>
            <w:gridSpan w:val="4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Datos a 30.06.2017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2º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Sem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2016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330A46" w:rsidRPr="00F42BE0" w:rsidTr="00330A46">
        <w:trPr>
          <w:trHeight w:val="25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CAP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Prev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Iniciais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Prev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>. Definitivas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DRN Netos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Recadación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Líquida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DRN 2º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Sem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2016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Estimacion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DRN a 31.12.2017</w:t>
            </w:r>
          </w:p>
        </w:tc>
      </w:tr>
      <w:tr w:rsidR="00330A46" w:rsidRPr="00F42BE0" w:rsidTr="00330A46">
        <w:trPr>
          <w:trHeight w:val="314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Impostos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Directos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2.011.000,00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2.011.000,00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956.805,37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956.805,37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770.541,40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1.727.346,77</w:t>
            </w:r>
          </w:p>
        </w:tc>
      </w:tr>
      <w:tr w:rsidR="00330A46" w:rsidRPr="00F42BE0" w:rsidTr="00330A46">
        <w:trPr>
          <w:trHeight w:val="25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Impostos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Indirectos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19.808,00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19.808,00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8.731,69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28.539,69</w:t>
            </w:r>
          </w:p>
        </w:tc>
      </w:tr>
      <w:tr w:rsidR="00330A46" w:rsidRPr="00F42BE0" w:rsidTr="00330A46">
        <w:trPr>
          <w:trHeight w:val="25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Tasas e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outros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Ingresos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742.800,00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758.255,51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494.753,84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484.076,31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327.997,71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822.751,55</w:t>
            </w:r>
          </w:p>
        </w:tc>
      </w:tr>
      <w:tr w:rsidR="00330A46" w:rsidRPr="00F42BE0" w:rsidTr="00330A46">
        <w:trPr>
          <w:trHeight w:val="25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Transf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Correntes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2.351.312,47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2.536.586,16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1.086.259,12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1.086.259,12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1.213.579,52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2.299.838,64</w:t>
            </w:r>
          </w:p>
        </w:tc>
      </w:tr>
      <w:tr w:rsidR="00330A46" w:rsidRPr="00F42BE0" w:rsidTr="00330A46">
        <w:trPr>
          <w:trHeight w:val="25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Ingresos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Patrimonias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95.734,20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95.734,20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2.106,52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2.106,52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40.548,07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42.654,59</w:t>
            </w:r>
          </w:p>
        </w:tc>
      </w:tr>
      <w:tr w:rsidR="00330A46" w:rsidRPr="00F42BE0" w:rsidTr="00330A46">
        <w:trPr>
          <w:trHeight w:val="25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Transf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>. de Capital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223.124,63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679.444,30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187.810,50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187.810,50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292.708,90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480.519,40</w:t>
            </w:r>
          </w:p>
        </w:tc>
      </w:tr>
      <w:tr w:rsidR="00330A46" w:rsidRPr="00F42BE0" w:rsidTr="00330A46">
        <w:trPr>
          <w:trHeight w:val="25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Activos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Financeiros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100.186,96</w:t>
            </w:r>
          </w:p>
        </w:tc>
        <w:tc>
          <w:tcPr>
            <w:tcW w:w="600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0A46" w:rsidRPr="00F42BE0" w:rsidTr="00330A46">
        <w:trPr>
          <w:trHeight w:val="25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Pasivos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Financeiros</w:t>
            </w:r>
            <w:proofErr w:type="spellEnd"/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213.396,25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425.512,11</w:t>
            </w:r>
          </w:p>
        </w:tc>
        <w:tc>
          <w:tcPr>
            <w:tcW w:w="600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0A46" w:rsidRPr="00F42BE0" w:rsidTr="00330A46">
        <w:trPr>
          <w:trHeight w:val="25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5.658.367,55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6.622.719,24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2.747.543,35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2.736.865,82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2.654.107,29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5.401.650,64</w:t>
            </w:r>
          </w:p>
        </w:tc>
      </w:tr>
    </w:tbl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324"/>
        <w:gridCol w:w="995"/>
        <w:gridCol w:w="1190"/>
        <w:gridCol w:w="822"/>
        <w:gridCol w:w="945"/>
        <w:gridCol w:w="1237"/>
        <w:gridCol w:w="1738"/>
      </w:tblGrid>
      <w:tr w:rsidR="00330A46" w:rsidRPr="00F42BE0" w:rsidTr="00330A4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29" w:type="pct"/>
            <w:gridSpan w:val="4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Datos a 30.06.2017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2º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Sem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2016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330A46" w:rsidRPr="00F42BE0" w:rsidTr="00330A4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CAP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Créditos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Iniciais</w:t>
            </w:r>
            <w:proofErr w:type="spellEnd"/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Créditos Definitivas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ORN Netos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Pagos Líquidos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ORN 4 2º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Sem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>. 2016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Estimación ORN a 31.12.2017</w:t>
            </w:r>
          </w:p>
        </w:tc>
      </w:tr>
      <w:tr w:rsidR="00330A46" w:rsidRPr="00F42BE0" w:rsidTr="00330A4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Gastos de Personal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2.299.670,00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2.398.304,84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1.007.828,79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962.023,42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1.165.811,97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2.173.640,76</w:t>
            </w:r>
          </w:p>
        </w:tc>
      </w:tr>
      <w:tr w:rsidR="00330A46" w:rsidRPr="00F42BE0" w:rsidTr="00330A4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Gastos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Bens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Correntes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2.037.357,59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2.152.701,49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922.338,69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780.383,74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1.028.776,07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1.951.114,76</w:t>
            </w:r>
          </w:p>
        </w:tc>
      </w:tr>
      <w:tr w:rsidR="00330A46" w:rsidRPr="00F42BE0" w:rsidTr="00330A4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Gastos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Financeiros</w:t>
            </w:r>
            <w:proofErr w:type="spellEnd"/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5.300,00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5.300,00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151,27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151,27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280,83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432,10</w:t>
            </w:r>
          </w:p>
        </w:tc>
      </w:tr>
      <w:tr w:rsidR="00330A46" w:rsidRPr="00F42BE0" w:rsidTr="00330A4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Transf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Correntes</w:t>
            </w:r>
            <w:proofErr w:type="spellEnd"/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330.741,59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330.741,59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46.686,73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42.523,88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78.441,25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125.127,98</w:t>
            </w:r>
          </w:p>
        </w:tc>
      </w:tr>
      <w:tr w:rsidR="00330A46" w:rsidRPr="00F42BE0" w:rsidTr="00330A4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Investimentos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Reais</w:t>
            </w:r>
            <w:proofErr w:type="spellEnd"/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964.598,37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1.714.971,32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294.216,48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287.432,65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661.470,17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955.686,65</w:t>
            </w:r>
          </w:p>
        </w:tc>
      </w:tr>
      <w:tr w:rsidR="00330A46" w:rsidRPr="00F42BE0" w:rsidTr="00330A4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Transf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>. de Capital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15.700,00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15.700,00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668,85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668,85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15.700,00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16.368,85</w:t>
            </w:r>
          </w:p>
        </w:tc>
      </w:tr>
      <w:tr w:rsidR="00330A46" w:rsidRPr="00F42BE0" w:rsidTr="00330A4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lastRenderedPageBreak/>
              <w:t>8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Activos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Financeiros</w:t>
            </w:r>
            <w:proofErr w:type="spellEnd"/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08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0A46" w:rsidRPr="00F42BE0" w:rsidTr="00330A4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Pasivos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Financeiros</w:t>
            </w:r>
            <w:proofErr w:type="spellEnd"/>
          </w:p>
        </w:tc>
        <w:tc>
          <w:tcPr>
            <w:tcW w:w="608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shd w:val="clear" w:color="auto" w:fill="BFBFB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FFFFFF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226.945,51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226.945,51</w:t>
            </w:r>
          </w:p>
        </w:tc>
      </w:tr>
      <w:tr w:rsidR="00330A46" w:rsidRPr="00F42BE0" w:rsidTr="00330A4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30A46" w:rsidRPr="00F42BE0" w:rsidRDefault="00330A46" w:rsidP="0022515D">
            <w:pPr>
              <w:jc w:val="right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81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5.658.367,55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6.622.719,24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2.271.890,81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2.073.183,81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3.177.425,80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5.449.316,61</w:t>
            </w:r>
          </w:p>
        </w:tc>
      </w:tr>
    </w:tbl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  <w:r w:rsidRPr="00F42BE0">
        <w:rPr>
          <w:sz w:val="22"/>
          <w:szCs w:val="22"/>
        </w:rPr>
        <w:tab/>
      </w: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  <w:proofErr w:type="spellStart"/>
      <w:r w:rsidRPr="00F42BE0">
        <w:rPr>
          <w:sz w:val="22"/>
          <w:szCs w:val="22"/>
        </w:rPr>
        <w:t>Aplicáronse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dous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axustes</w:t>
      </w:r>
      <w:proofErr w:type="spellEnd"/>
      <w:r w:rsidRPr="00F42BE0">
        <w:rPr>
          <w:sz w:val="22"/>
          <w:szCs w:val="22"/>
        </w:rPr>
        <w:t xml:space="preserve"> sobre os datos do 2016, no capítulo 7 e 9 de gastos para adecuarse </w:t>
      </w:r>
      <w:proofErr w:type="spellStart"/>
      <w:r w:rsidRPr="00F42BE0">
        <w:rPr>
          <w:sz w:val="22"/>
          <w:szCs w:val="22"/>
        </w:rPr>
        <w:t>ao</w:t>
      </w:r>
      <w:proofErr w:type="spellEnd"/>
      <w:r w:rsidRPr="00F42BE0">
        <w:rPr>
          <w:sz w:val="22"/>
          <w:szCs w:val="22"/>
        </w:rPr>
        <w:t xml:space="preserve"> crédito existente </w:t>
      </w:r>
      <w:proofErr w:type="spellStart"/>
      <w:r w:rsidRPr="00F42BE0">
        <w:rPr>
          <w:sz w:val="22"/>
          <w:szCs w:val="22"/>
        </w:rPr>
        <w:t>nas</w:t>
      </w:r>
      <w:proofErr w:type="spellEnd"/>
      <w:r w:rsidRPr="00F42BE0">
        <w:rPr>
          <w:sz w:val="22"/>
          <w:szCs w:val="22"/>
        </w:rPr>
        <w:t xml:space="preserve"> transferencias de capital e a previsión de amortización do préstamo do PAI 2015.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072"/>
        <w:gridCol w:w="2694"/>
      </w:tblGrid>
      <w:tr w:rsidR="00330A46" w:rsidRPr="00F42BE0" w:rsidTr="0022515D">
        <w:trPr>
          <w:trHeight w:val="33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</w:rPr>
              <w:t>30/06/2017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BE0">
              <w:rPr>
                <w:color w:val="000000"/>
                <w:sz w:val="22"/>
                <w:szCs w:val="22"/>
              </w:rPr>
              <w:t>Estimacion</w:t>
            </w:r>
            <w:proofErr w:type="spellEnd"/>
            <w:r w:rsidRPr="00F42BE0">
              <w:rPr>
                <w:color w:val="000000"/>
                <w:sz w:val="22"/>
                <w:szCs w:val="22"/>
              </w:rPr>
              <w:t xml:space="preserve"> 31/12/2017</w:t>
            </w:r>
          </w:p>
        </w:tc>
      </w:tr>
      <w:tr w:rsidR="00330A46" w:rsidRPr="00F42BE0" w:rsidTr="0022515D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</w:rPr>
              <w:t>TOTAL DRN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2.747.543,35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5.401.650,64</w:t>
            </w:r>
          </w:p>
        </w:tc>
      </w:tr>
      <w:tr w:rsidR="00330A46" w:rsidRPr="00F42BE0" w:rsidTr="0022515D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</w:rPr>
              <w:t>TOTAL ORN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2.271.890,81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</w:rPr>
            </w:pPr>
            <w:r w:rsidRPr="00F42BE0">
              <w:rPr>
                <w:color w:val="000000"/>
                <w:sz w:val="22"/>
                <w:szCs w:val="22"/>
              </w:rPr>
              <w:t>5.449.316,61</w:t>
            </w:r>
          </w:p>
        </w:tc>
      </w:tr>
      <w:tr w:rsidR="00330A46" w:rsidRPr="00F42BE0" w:rsidTr="0022515D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</w:rPr>
              <w:t xml:space="preserve">Resultado 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</w:rPr>
              <w:t>orzamentario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</w:rPr>
              <w:t>sen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</w:rPr>
              <w:t>axustes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</w:rPr>
              <w:t>475.652,54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</w:rPr>
              <w:t>-47.665,97</w:t>
            </w:r>
          </w:p>
        </w:tc>
      </w:tr>
    </w:tbl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  <w:r w:rsidRPr="00F42BE0">
        <w:rPr>
          <w:sz w:val="22"/>
          <w:szCs w:val="22"/>
        </w:rPr>
        <w:t xml:space="preserve">O que se informa </w:t>
      </w:r>
      <w:proofErr w:type="spellStart"/>
      <w:r w:rsidRPr="00F42BE0">
        <w:rPr>
          <w:sz w:val="22"/>
          <w:szCs w:val="22"/>
        </w:rPr>
        <w:t>aos</w:t>
      </w:r>
      <w:proofErr w:type="spellEnd"/>
      <w:r w:rsidRPr="00F42BE0">
        <w:rPr>
          <w:sz w:val="22"/>
          <w:szCs w:val="22"/>
        </w:rPr>
        <w:t xml:space="preserve"> efectos en </w:t>
      </w:r>
      <w:proofErr w:type="spellStart"/>
      <w:r w:rsidRPr="00F42BE0">
        <w:rPr>
          <w:sz w:val="22"/>
          <w:szCs w:val="22"/>
        </w:rPr>
        <w:t>cumprimento</w:t>
      </w:r>
      <w:proofErr w:type="spellEnd"/>
      <w:r w:rsidRPr="00F42BE0">
        <w:rPr>
          <w:sz w:val="22"/>
          <w:szCs w:val="22"/>
        </w:rPr>
        <w:t xml:space="preserve"> do </w:t>
      </w:r>
      <w:proofErr w:type="spellStart"/>
      <w:r w:rsidRPr="00F42BE0">
        <w:rPr>
          <w:sz w:val="22"/>
          <w:szCs w:val="22"/>
        </w:rPr>
        <w:t>disposto</w:t>
      </w:r>
      <w:proofErr w:type="spellEnd"/>
      <w:r w:rsidRPr="00F42BE0">
        <w:rPr>
          <w:sz w:val="22"/>
          <w:szCs w:val="22"/>
        </w:rPr>
        <w:t xml:space="preserve"> no  artigo 207 de Texto Refundido da </w:t>
      </w:r>
      <w:proofErr w:type="spellStart"/>
      <w:r w:rsidRPr="00F42BE0">
        <w:rPr>
          <w:sz w:val="22"/>
          <w:szCs w:val="22"/>
        </w:rPr>
        <w:t>Lei</w:t>
      </w:r>
      <w:proofErr w:type="spellEnd"/>
      <w:r w:rsidRPr="00F42BE0">
        <w:rPr>
          <w:sz w:val="22"/>
          <w:szCs w:val="22"/>
        </w:rPr>
        <w:t xml:space="preserve"> reguladora das </w:t>
      </w:r>
      <w:proofErr w:type="spellStart"/>
      <w:r w:rsidRPr="00F42BE0">
        <w:rPr>
          <w:sz w:val="22"/>
          <w:szCs w:val="22"/>
        </w:rPr>
        <w:t>Facendas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Locais</w:t>
      </w:r>
      <w:proofErr w:type="spellEnd"/>
      <w:r w:rsidRPr="00F42BE0">
        <w:rPr>
          <w:sz w:val="22"/>
          <w:szCs w:val="22"/>
        </w:rPr>
        <w:t xml:space="preserve"> e 56 das Bases de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do </w:t>
      </w:r>
      <w:proofErr w:type="spellStart"/>
      <w:r w:rsidRPr="00F42BE0">
        <w:rPr>
          <w:sz w:val="22"/>
          <w:szCs w:val="22"/>
        </w:rPr>
        <w:t>Orzamento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remítese</w:t>
      </w:r>
      <w:proofErr w:type="spellEnd"/>
      <w:r w:rsidRPr="00F42BE0">
        <w:rPr>
          <w:sz w:val="22"/>
          <w:szCs w:val="22"/>
        </w:rPr>
        <w:t xml:space="preserve"> informe da </w:t>
      </w:r>
      <w:proofErr w:type="spellStart"/>
      <w:r w:rsidRPr="00F42BE0">
        <w:rPr>
          <w:sz w:val="22"/>
          <w:szCs w:val="22"/>
        </w:rPr>
        <w:t>execución</w:t>
      </w:r>
      <w:proofErr w:type="spellEnd"/>
      <w:r w:rsidRPr="00F42BE0">
        <w:rPr>
          <w:sz w:val="22"/>
          <w:szCs w:val="22"/>
        </w:rPr>
        <w:t xml:space="preserve"> do </w:t>
      </w:r>
      <w:proofErr w:type="spellStart"/>
      <w:r w:rsidRPr="00F42BE0">
        <w:rPr>
          <w:sz w:val="22"/>
          <w:szCs w:val="22"/>
        </w:rPr>
        <w:t>primeiro</w:t>
      </w:r>
      <w:proofErr w:type="spellEnd"/>
      <w:r w:rsidRPr="00F42BE0">
        <w:rPr>
          <w:sz w:val="22"/>
          <w:szCs w:val="22"/>
        </w:rPr>
        <w:t xml:space="preserve"> semestre e avance da liquidación do </w:t>
      </w:r>
      <w:proofErr w:type="spellStart"/>
      <w:r w:rsidRPr="00F42BE0">
        <w:rPr>
          <w:sz w:val="22"/>
          <w:szCs w:val="22"/>
        </w:rPr>
        <w:t>exercicio</w:t>
      </w:r>
      <w:proofErr w:type="spellEnd"/>
      <w:r w:rsidRPr="00F42BE0">
        <w:rPr>
          <w:sz w:val="22"/>
          <w:szCs w:val="22"/>
        </w:rPr>
        <w:t xml:space="preserve"> 2017, tanto no referente </w:t>
      </w:r>
      <w:proofErr w:type="spellStart"/>
      <w:r w:rsidRPr="00F42BE0">
        <w:rPr>
          <w:sz w:val="22"/>
          <w:szCs w:val="22"/>
        </w:rPr>
        <w:t>aos</w:t>
      </w:r>
      <w:proofErr w:type="spellEnd"/>
      <w:r w:rsidRPr="00F42BE0">
        <w:rPr>
          <w:sz w:val="22"/>
          <w:szCs w:val="22"/>
        </w:rPr>
        <w:t xml:space="preserve"> gastos como ingresos do </w:t>
      </w:r>
      <w:proofErr w:type="spellStart"/>
      <w:r w:rsidRPr="00F42BE0">
        <w:rPr>
          <w:sz w:val="22"/>
          <w:szCs w:val="22"/>
        </w:rPr>
        <w:t>exercicio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</w:p>
    <w:p w:rsidR="00330A46" w:rsidRPr="00F42BE0" w:rsidRDefault="00330A46" w:rsidP="00330A46">
      <w:pPr>
        <w:tabs>
          <w:tab w:val="left" w:pos="-1440"/>
          <w:tab w:val="left" w:pos="-720"/>
          <w:tab w:val="left" w:pos="0"/>
          <w:tab w:val="left" w:pos="720"/>
          <w:tab w:val="left" w:pos="1326"/>
          <w:tab w:val="left" w:pos="1440"/>
          <w:tab w:val="left" w:pos="1815"/>
        </w:tabs>
        <w:ind w:firstLine="720"/>
        <w:jc w:val="both"/>
        <w:rPr>
          <w:b/>
          <w:bCs/>
          <w:sz w:val="22"/>
          <w:szCs w:val="22"/>
        </w:rPr>
      </w:pPr>
      <w:r w:rsidRPr="00F42BE0">
        <w:rPr>
          <w:b/>
          <w:bCs/>
          <w:sz w:val="22"/>
          <w:szCs w:val="22"/>
        </w:rPr>
        <w:t xml:space="preserve">III. Estimación Remanente de </w:t>
      </w:r>
      <w:proofErr w:type="spellStart"/>
      <w:r w:rsidRPr="00F42BE0">
        <w:rPr>
          <w:b/>
          <w:bCs/>
          <w:sz w:val="22"/>
          <w:szCs w:val="22"/>
        </w:rPr>
        <w:t>Tesourería</w:t>
      </w:r>
      <w:proofErr w:type="spellEnd"/>
    </w:p>
    <w:p w:rsidR="00330A46" w:rsidRPr="00F42BE0" w:rsidRDefault="00330A46" w:rsidP="00330A46">
      <w:pPr>
        <w:tabs>
          <w:tab w:val="left" w:pos="-1440"/>
          <w:tab w:val="left" w:pos="-720"/>
          <w:tab w:val="left" w:pos="0"/>
          <w:tab w:val="left" w:pos="720"/>
          <w:tab w:val="left" w:pos="1326"/>
          <w:tab w:val="left" w:pos="1440"/>
          <w:tab w:val="left" w:pos="1815"/>
        </w:tabs>
        <w:ind w:firstLine="720"/>
        <w:jc w:val="both"/>
        <w:rPr>
          <w:b/>
          <w:bCs/>
          <w:sz w:val="22"/>
          <w:szCs w:val="22"/>
        </w:rPr>
      </w:pPr>
    </w:p>
    <w:p w:rsidR="00330A46" w:rsidRPr="00F42BE0" w:rsidRDefault="00330A46" w:rsidP="00330A46">
      <w:pPr>
        <w:tabs>
          <w:tab w:val="left" w:pos="-1440"/>
          <w:tab w:val="left" w:pos="-720"/>
          <w:tab w:val="left" w:pos="0"/>
          <w:tab w:val="left" w:pos="720"/>
          <w:tab w:val="left" w:pos="1326"/>
          <w:tab w:val="left" w:pos="1440"/>
          <w:tab w:val="left" w:pos="1815"/>
        </w:tabs>
        <w:jc w:val="both"/>
        <w:rPr>
          <w:bCs/>
          <w:sz w:val="22"/>
          <w:szCs w:val="22"/>
        </w:rPr>
      </w:pPr>
      <w:r w:rsidRPr="00F42BE0">
        <w:rPr>
          <w:bCs/>
          <w:sz w:val="22"/>
          <w:szCs w:val="22"/>
        </w:rPr>
        <w:tab/>
        <w:t xml:space="preserve">Os datos son </w:t>
      </w:r>
      <w:r w:rsidRPr="00F42BE0">
        <w:rPr>
          <w:bCs/>
          <w:sz w:val="22"/>
          <w:szCs w:val="22"/>
          <w:u w:val="single"/>
        </w:rPr>
        <w:t xml:space="preserve">meras </w:t>
      </w:r>
      <w:proofErr w:type="spellStart"/>
      <w:r w:rsidRPr="00F42BE0">
        <w:rPr>
          <w:bCs/>
          <w:sz w:val="22"/>
          <w:szCs w:val="22"/>
          <w:u w:val="single"/>
        </w:rPr>
        <w:t>estimacións</w:t>
      </w:r>
      <w:proofErr w:type="spellEnd"/>
      <w:r w:rsidRPr="00F42BE0">
        <w:rPr>
          <w:bCs/>
          <w:sz w:val="22"/>
          <w:szCs w:val="22"/>
          <w:u w:val="single"/>
        </w:rPr>
        <w:t xml:space="preserve"> e datos </w:t>
      </w:r>
      <w:proofErr w:type="spellStart"/>
      <w:r w:rsidRPr="00F42BE0">
        <w:rPr>
          <w:bCs/>
          <w:sz w:val="22"/>
          <w:szCs w:val="22"/>
          <w:u w:val="single"/>
        </w:rPr>
        <w:t>provisionais</w:t>
      </w:r>
      <w:proofErr w:type="spellEnd"/>
      <w:r w:rsidRPr="00F42BE0">
        <w:rPr>
          <w:bCs/>
          <w:sz w:val="22"/>
          <w:szCs w:val="22"/>
          <w:u w:val="single"/>
        </w:rPr>
        <w:t xml:space="preserve">, </w:t>
      </w:r>
      <w:proofErr w:type="spellStart"/>
      <w:r w:rsidRPr="00F42BE0">
        <w:rPr>
          <w:bCs/>
          <w:sz w:val="22"/>
          <w:szCs w:val="22"/>
          <w:u w:val="single"/>
        </w:rPr>
        <w:t>baseadas</w:t>
      </w:r>
      <w:proofErr w:type="spellEnd"/>
      <w:r w:rsidRPr="00F42BE0">
        <w:rPr>
          <w:bCs/>
          <w:sz w:val="22"/>
          <w:szCs w:val="22"/>
          <w:u w:val="single"/>
        </w:rPr>
        <w:t xml:space="preserve"> nos datos </w:t>
      </w:r>
      <w:proofErr w:type="spellStart"/>
      <w:r w:rsidRPr="00F42BE0">
        <w:rPr>
          <w:bCs/>
          <w:sz w:val="22"/>
          <w:szCs w:val="22"/>
          <w:u w:val="single"/>
        </w:rPr>
        <w:t>actuais</w:t>
      </w:r>
      <w:proofErr w:type="spellEnd"/>
      <w:r w:rsidRPr="00F42BE0">
        <w:rPr>
          <w:bCs/>
          <w:sz w:val="22"/>
          <w:szCs w:val="22"/>
          <w:u w:val="single"/>
        </w:rPr>
        <w:t xml:space="preserve"> que non deben </w:t>
      </w:r>
      <w:proofErr w:type="spellStart"/>
      <w:r w:rsidRPr="00F42BE0">
        <w:rPr>
          <w:bCs/>
          <w:sz w:val="22"/>
          <w:szCs w:val="22"/>
          <w:u w:val="single"/>
        </w:rPr>
        <w:t>empregarse</w:t>
      </w:r>
      <w:proofErr w:type="spellEnd"/>
      <w:r w:rsidRPr="00F42BE0">
        <w:rPr>
          <w:bCs/>
          <w:sz w:val="22"/>
          <w:szCs w:val="22"/>
          <w:u w:val="single"/>
        </w:rPr>
        <w:t xml:space="preserve"> para compromisos de gasto futuros</w:t>
      </w:r>
      <w:r w:rsidRPr="00F42BE0">
        <w:rPr>
          <w:bCs/>
          <w:sz w:val="22"/>
          <w:szCs w:val="22"/>
        </w:rPr>
        <w:t>.</w:t>
      </w:r>
    </w:p>
    <w:p w:rsidR="00330A46" w:rsidRPr="00F42BE0" w:rsidRDefault="00330A46" w:rsidP="00330A46">
      <w:pPr>
        <w:tabs>
          <w:tab w:val="left" w:pos="-1440"/>
          <w:tab w:val="left" w:pos="-720"/>
          <w:tab w:val="left" w:pos="0"/>
          <w:tab w:val="left" w:pos="720"/>
          <w:tab w:val="left" w:pos="1326"/>
          <w:tab w:val="left" w:pos="1440"/>
          <w:tab w:val="left" w:pos="1815"/>
        </w:tabs>
        <w:jc w:val="both"/>
        <w:rPr>
          <w:bCs/>
          <w:sz w:val="22"/>
          <w:szCs w:val="22"/>
        </w:rPr>
      </w:pPr>
    </w:p>
    <w:p w:rsidR="00330A46" w:rsidRPr="00F42BE0" w:rsidRDefault="00330A46" w:rsidP="00330A46">
      <w:pPr>
        <w:tabs>
          <w:tab w:val="left" w:pos="-1440"/>
          <w:tab w:val="left" w:pos="-720"/>
          <w:tab w:val="left" w:pos="0"/>
          <w:tab w:val="left" w:pos="720"/>
          <w:tab w:val="left" w:pos="1326"/>
          <w:tab w:val="left" w:pos="1440"/>
          <w:tab w:val="left" w:pos="1815"/>
        </w:tabs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Deben aplicarse posteriormente o </w:t>
      </w:r>
      <w:proofErr w:type="spellStart"/>
      <w:r w:rsidRPr="00F42BE0">
        <w:rPr>
          <w:sz w:val="22"/>
          <w:szCs w:val="22"/>
        </w:rPr>
        <w:t>financiamento</w:t>
      </w:r>
      <w:proofErr w:type="spellEnd"/>
      <w:r w:rsidRPr="00F42BE0">
        <w:rPr>
          <w:sz w:val="22"/>
          <w:szCs w:val="22"/>
        </w:rPr>
        <w:t xml:space="preserve"> afectado formado </w:t>
      </w:r>
      <w:proofErr w:type="spellStart"/>
      <w:r w:rsidRPr="00F42BE0">
        <w:rPr>
          <w:sz w:val="22"/>
          <w:szCs w:val="22"/>
        </w:rPr>
        <w:t>polas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desviacións</w:t>
      </w:r>
      <w:proofErr w:type="spellEnd"/>
      <w:r w:rsidRPr="00F42BE0">
        <w:rPr>
          <w:sz w:val="22"/>
          <w:szCs w:val="22"/>
        </w:rPr>
        <w:t xml:space="preserve"> de </w:t>
      </w:r>
      <w:proofErr w:type="spellStart"/>
      <w:r w:rsidRPr="00F42BE0">
        <w:rPr>
          <w:sz w:val="22"/>
          <w:szCs w:val="22"/>
        </w:rPr>
        <w:t>financiamento</w:t>
      </w:r>
      <w:proofErr w:type="spellEnd"/>
      <w:r w:rsidRPr="00F42BE0">
        <w:rPr>
          <w:sz w:val="22"/>
          <w:szCs w:val="22"/>
        </w:rPr>
        <w:t xml:space="preserve"> positivas acumuladas que efectivamente resulten da liquidación, que reduciría o importe de remanente de </w:t>
      </w:r>
      <w:proofErr w:type="spellStart"/>
      <w:r w:rsidRPr="00F42BE0">
        <w:rPr>
          <w:sz w:val="22"/>
          <w:szCs w:val="22"/>
        </w:rPr>
        <w:t>tesourería</w:t>
      </w:r>
      <w:proofErr w:type="spellEnd"/>
      <w:r w:rsidRPr="00F42BE0">
        <w:rPr>
          <w:sz w:val="22"/>
          <w:szCs w:val="22"/>
        </w:rPr>
        <w:t xml:space="preserve"> de gastos </w:t>
      </w:r>
      <w:proofErr w:type="spellStart"/>
      <w:r w:rsidRPr="00F42BE0">
        <w:rPr>
          <w:sz w:val="22"/>
          <w:szCs w:val="22"/>
        </w:rPr>
        <w:t>xerais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tabs>
          <w:tab w:val="left" w:pos="-1440"/>
          <w:tab w:val="left" w:pos="-720"/>
          <w:tab w:val="left" w:pos="0"/>
          <w:tab w:val="left" w:pos="720"/>
          <w:tab w:val="left" w:pos="1326"/>
          <w:tab w:val="left" w:pos="1440"/>
          <w:tab w:val="left" w:pos="1815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8"/>
        <w:gridCol w:w="1356"/>
      </w:tblGrid>
      <w:tr w:rsidR="00330A46" w:rsidRPr="00F42BE0" w:rsidTr="00330A46">
        <w:trPr>
          <w:trHeight w:val="479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Simulación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color w:val="000000"/>
                <w:sz w:val="22"/>
                <w:szCs w:val="22"/>
                <w:lang w:val="es-ES"/>
              </w:rPr>
              <w:t>1.-Fondos Líquidos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color w:val="000000"/>
                <w:sz w:val="22"/>
                <w:szCs w:val="22"/>
                <w:lang w:val="es-ES"/>
              </w:rPr>
              <w:t>2.492.747,10 €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Derechos pendientes de cobro: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(+) Del Presupuesto Corriente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10.677,53 €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(+) De Presupuesto Cerrados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1.730,97 €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(+) De Otras Operaciones No Presupuestarias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7.377,35 €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color w:val="000000"/>
                <w:sz w:val="22"/>
                <w:szCs w:val="22"/>
                <w:lang w:val="es-ES"/>
              </w:rPr>
              <w:t>2.- Total Derechos pendientes de cobro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color w:val="000000"/>
                <w:sz w:val="22"/>
                <w:szCs w:val="22"/>
                <w:lang w:val="es-ES"/>
              </w:rPr>
              <w:t>19.785,85 €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Obligaciones Pendientes de pago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(+) Del Presupuesto Corriente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198.707,00 €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(+) De Presupuesto Cerrados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3.366,38 €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(+) De Otras Operaciones No Presupuestarias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295.809,12 €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color w:val="000000"/>
                <w:sz w:val="22"/>
                <w:szCs w:val="22"/>
                <w:lang w:val="es-ES"/>
              </w:rPr>
              <w:t>3.- Total Obligaciones pendientes de pago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color w:val="000000"/>
                <w:sz w:val="22"/>
                <w:szCs w:val="22"/>
                <w:lang w:val="es-ES"/>
              </w:rPr>
              <w:t>497.882,50 €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I. Remanente de Tesorería (1+2-3+4)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2.018.610,83 €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II. Saldos de dudoso cobro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1.050,19 €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III. Exceso de financiación afectada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32.223,99 €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IV. Remanente de Tesorería para Gastos generales (I- II - III)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1.985.336,65 €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V. Saldo de obligaciones pendientes de aplicar al Presupuesto a final de periodo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13.148,42 €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lastRenderedPageBreak/>
              <w:t>VI. Saldo de acreedores por devolución de ingresos a final de periodo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13.568,34 €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color w:val="000000"/>
                <w:sz w:val="22"/>
                <w:szCs w:val="22"/>
                <w:lang w:val="es-ES"/>
              </w:rPr>
              <w:t>VII. REMANENTE TESORERÍA GASTOS GENERALES AJUSTADO(IV-V-VI)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color w:val="000000"/>
                <w:sz w:val="22"/>
                <w:szCs w:val="22"/>
                <w:lang w:val="es-ES"/>
              </w:rPr>
              <w:t>1.958.619,89 €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color w:val="000000"/>
                <w:sz w:val="22"/>
                <w:szCs w:val="22"/>
                <w:lang w:val="es-ES"/>
              </w:rPr>
              <w:t>4.- Partidas pendientes de aplicación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color w:val="000000"/>
                <w:sz w:val="22"/>
                <w:szCs w:val="22"/>
                <w:lang w:val="es-ES"/>
              </w:rPr>
              <w:t>3.960,38 €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(-) Cobros realizados pendientes de Aplicación Definitiva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3.140,56 €</w:t>
            </w:r>
          </w:p>
        </w:tc>
      </w:tr>
      <w:tr w:rsidR="00330A46" w:rsidRPr="00F42BE0" w:rsidTr="00330A46">
        <w:trPr>
          <w:trHeight w:val="255"/>
        </w:trPr>
        <w:tc>
          <w:tcPr>
            <w:tcW w:w="4203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(+) Pagos realizados pendientes de aplicación definitiva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7.100,94 €</w:t>
            </w:r>
          </w:p>
        </w:tc>
      </w:tr>
    </w:tbl>
    <w:p w:rsidR="00330A46" w:rsidRPr="00F42BE0" w:rsidRDefault="00330A46" w:rsidP="00330A46">
      <w:pPr>
        <w:tabs>
          <w:tab w:val="left" w:pos="-1440"/>
          <w:tab w:val="left" w:pos="-720"/>
          <w:tab w:val="left" w:pos="0"/>
          <w:tab w:val="left" w:pos="720"/>
          <w:tab w:val="left" w:pos="1326"/>
          <w:tab w:val="left" w:pos="1440"/>
          <w:tab w:val="left" w:pos="1815"/>
        </w:tabs>
        <w:jc w:val="both"/>
        <w:rPr>
          <w:sz w:val="22"/>
          <w:szCs w:val="22"/>
        </w:rPr>
      </w:pPr>
    </w:p>
    <w:p w:rsidR="00330A46" w:rsidRPr="00F42BE0" w:rsidRDefault="00330A46" w:rsidP="00330A46">
      <w:pPr>
        <w:tabs>
          <w:tab w:val="left" w:pos="-1440"/>
          <w:tab w:val="left" w:pos="-720"/>
          <w:tab w:val="left" w:pos="0"/>
          <w:tab w:val="left" w:pos="720"/>
          <w:tab w:val="left" w:pos="1326"/>
          <w:tab w:val="left" w:pos="1440"/>
          <w:tab w:val="left" w:pos="1815"/>
        </w:tabs>
        <w:jc w:val="both"/>
        <w:rPr>
          <w:sz w:val="22"/>
          <w:szCs w:val="22"/>
        </w:rPr>
      </w:pPr>
      <w:r w:rsidRPr="00F42BE0">
        <w:rPr>
          <w:sz w:val="22"/>
          <w:szCs w:val="22"/>
        </w:rPr>
        <w:t xml:space="preserve">Nota.-Este importe ven </w:t>
      </w:r>
      <w:proofErr w:type="spellStart"/>
      <w:r w:rsidRPr="00F42BE0">
        <w:rPr>
          <w:sz w:val="22"/>
          <w:szCs w:val="22"/>
        </w:rPr>
        <w:t>dunha</w:t>
      </w:r>
      <w:proofErr w:type="spellEnd"/>
      <w:r w:rsidRPr="00F42BE0">
        <w:rPr>
          <w:sz w:val="22"/>
          <w:szCs w:val="22"/>
        </w:rPr>
        <w:t xml:space="preserve"> simulación do programa contable que non ten en </w:t>
      </w:r>
      <w:proofErr w:type="spellStart"/>
      <w:r w:rsidRPr="00F42BE0">
        <w:rPr>
          <w:sz w:val="22"/>
          <w:szCs w:val="22"/>
        </w:rPr>
        <w:t>conta</w:t>
      </w:r>
      <w:proofErr w:type="spellEnd"/>
      <w:r w:rsidRPr="00F42BE0">
        <w:rPr>
          <w:sz w:val="22"/>
          <w:szCs w:val="22"/>
        </w:rPr>
        <w:t xml:space="preserve"> a devolución prevista do PAI 2015 por 226.945,51 € polo que o importe será inferior.</w:t>
      </w: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  <w:highlight w:val="yellow"/>
        </w:rPr>
      </w:pP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b/>
          <w:bCs/>
          <w:sz w:val="22"/>
          <w:szCs w:val="22"/>
          <w:lang w:val="es-ES"/>
        </w:rPr>
      </w:pPr>
      <w:r w:rsidRPr="00F42BE0">
        <w:rPr>
          <w:b/>
          <w:bCs/>
          <w:sz w:val="22"/>
          <w:szCs w:val="22"/>
          <w:lang w:val="es-ES"/>
        </w:rPr>
        <w:t>ESTIMACIÓN DO CUMPRIMENTO DA ESTABILIDADE ORZAMENTARIA NO 2017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6699"/>
        <w:gridCol w:w="1309"/>
      </w:tblGrid>
      <w:tr w:rsidR="00330A46" w:rsidRPr="00F42BE0" w:rsidTr="00330A4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IMPORTE</w:t>
            </w:r>
          </w:p>
        </w:tc>
      </w:tr>
      <w:tr w:rsidR="00330A46" w:rsidRPr="00F42BE0" w:rsidTr="00330A46">
        <w:trPr>
          <w:trHeight w:val="291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+</w:t>
            </w:r>
          </w:p>
        </w:tc>
        <w:tc>
          <w:tcPr>
            <w:tcW w:w="38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DRN Operaciones Non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Financeiras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Presuposto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Corrente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(Capítulos 1 a 5)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4.921.131,24</w:t>
            </w:r>
          </w:p>
        </w:tc>
      </w:tr>
      <w:tr w:rsidR="00330A46" w:rsidRPr="00F42BE0" w:rsidTr="00330A46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ORN Operaciones No Financieras Presupuesto Corriente (Capítulos 1 a 4)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4.250.315,60</w:t>
            </w:r>
          </w:p>
        </w:tc>
      </w:tr>
      <w:tr w:rsidR="00330A46" w:rsidRPr="00F42BE0" w:rsidTr="00330A46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Aforro Bruto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670.815,64</w:t>
            </w:r>
          </w:p>
        </w:tc>
      </w:tr>
      <w:tr w:rsidR="00330A46" w:rsidRPr="00F42BE0" w:rsidTr="00330A46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+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DRN Resto Operaciones Non Financieras (Capítulos 6 y 7)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480.519,40</w:t>
            </w:r>
          </w:p>
        </w:tc>
      </w:tr>
      <w:tr w:rsidR="00330A46" w:rsidRPr="00F42BE0" w:rsidTr="00330A46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ORN Resto Operaciones Non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Financeiras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(Capítulos 6 y 7)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972.055,50</w:t>
            </w:r>
          </w:p>
        </w:tc>
      </w:tr>
      <w:tr w:rsidR="00330A46" w:rsidRPr="00F42BE0" w:rsidTr="00330A46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Subtotal 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Operacións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Non 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Financeiras</w:t>
            </w:r>
            <w:proofErr w:type="spellEnd"/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-491.536,10</w:t>
            </w:r>
          </w:p>
        </w:tc>
      </w:tr>
      <w:tr w:rsidR="00330A46" w:rsidRPr="00F42BE0" w:rsidTr="00330A46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Superávit (+) 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ou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Necesidade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Financiaciamento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(-)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179.279,54</w:t>
            </w:r>
          </w:p>
        </w:tc>
      </w:tr>
      <w:tr w:rsidR="00330A46" w:rsidRPr="00F42BE0" w:rsidTr="00330A46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Axuste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1º (criterio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caixa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330A46" w:rsidRPr="00F42BE0" w:rsidTr="00330A46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Axuste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2º (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int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>. Devengados)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330A46" w:rsidRPr="00F42BE0" w:rsidTr="00330A46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Axuste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3º (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Operacións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ptes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>. aplicar)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15.900,72</w:t>
            </w:r>
          </w:p>
        </w:tc>
      </w:tr>
      <w:tr w:rsidR="00330A46" w:rsidRPr="00F42BE0" w:rsidTr="00330A46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+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Axuste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4º (Reintegros PTE 2009)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1.404,63</w:t>
            </w:r>
          </w:p>
        </w:tc>
      </w:tr>
      <w:tr w:rsidR="00330A46" w:rsidRPr="00F42BE0" w:rsidTr="00330A46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+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Axuste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subvencións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sen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DRN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330A46" w:rsidRPr="00F42BE0" w:rsidTr="00330A46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Total Superávit (+) 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ou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Necesidade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Financiaciamento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(-)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164.783,45</w:t>
            </w:r>
          </w:p>
        </w:tc>
      </w:tr>
    </w:tbl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  <w:highlight w:val="yellow"/>
        </w:rPr>
      </w:pP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b/>
          <w:bCs/>
          <w:sz w:val="22"/>
          <w:szCs w:val="22"/>
          <w:lang w:val="es-ES"/>
        </w:rPr>
      </w:pPr>
      <w:r w:rsidRPr="00F42BE0">
        <w:rPr>
          <w:b/>
          <w:bCs/>
          <w:sz w:val="22"/>
          <w:szCs w:val="22"/>
          <w:lang w:val="es-ES"/>
        </w:rPr>
        <w:t>ESTIMACIÓN DO CUMPRIMENTO DA REGRA DE GASTO NO 2017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6548"/>
        <w:gridCol w:w="1778"/>
      </w:tblGrid>
      <w:tr w:rsidR="00330A46" w:rsidRPr="00F42BE0" w:rsidTr="00330A46">
        <w:trPr>
          <w:trHeight w:val="270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bookmarkStart w:id="0" w:name="_GoBack"/>
            <w:r w:rsidRPr="00F42BE0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Importe ORN 2016</w:t>
            </w:r>
          </w:p>
        </w:tc>
      </w:tr>
      <w:tr w:rsidR="00330A46" w:rsidRPr="00F42BE0" w:rsidTr="00330A46">
        <w:trPr>
          <w:trHeight w:val="31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A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Gasto computable liquidación 2016 (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sen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Inv.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Financeiramente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sostibles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 </w:t>
            </w: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4.110.977,36</w:t>
            </w:r>
          </w:p>
        </w:tc>
      </w:tr>
      <w:tr w:rsidR="00330A46" w:rsidRPr="00F42BE0" w:rsidTr="00330A46">
        <w:trPr>
          <w:trHeight w:val="31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B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Investimentos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financeiramente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sostibles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RTGG no 2016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 0</w:t>
            </w:r>
          </w:p>
        </w:tc>
      </w:tr>
      <w:tr w:rsidR="00330A46" w:rsidRPr="00F42BE0" w:rsidTr="00330A46">
        <w:trPr>
          <w:trHeight w:val="31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C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Subtotal (A-B)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4.110.977,36</w:t>
            </w:r>
          </w:p>
        </w:tc>
      </w:tr>
      <w:tr w:rsidR="00330A46" w:rsidRPr="00F42BE0" w:rsidTr="00330A46">
        <w:trPr>
          <w:trHeight w:val="31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D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Tasa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crecimento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PIB 2017 (2,2 %)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90.441,50</w:t>
            </w:r>
          </w:p>
        </w:tc>
      </w:tr>
      <w:tr w:rsidR="00330A46" w:rsidRPr="00F42BE0" w:rsidTr="00330A46">
        <w:trPr>
          <w:trHeight w:val="31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E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Limite previo (C+D)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4.201.418,86</w:t>
            </w:r>
          </w:p>
        </w:tc>
      </w:tr>
      <w:tr w:rsidR="00330A46" w:rsidRPr="00F42BE0" w:rsidTr="00330A46">
        <w:trPr>
          <w:trHeight w:val="31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F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Aumentos/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Disminucións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permanentes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recadación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no 2017 (Valor Catastral  IBI)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118.256,08</w:t>
            </w:r>
          </w:p>
        </w:tc>
      </w:tr>
      <w:tr w:rsidR="00330A46" w:rsidRPr="00F42BE0" w:rsidTr="00330A46">
        <w:trPr>
          <w:trHeight w:val="31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G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Limite Regla de Gasto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4.319.674,94</w:t>
            </w:r>
          </w:p>
        </w:tc>
      </w:tr>
      <w:tr w:rsidR="00330A46" w:rsidRPr="00F42BE0" w:rsidTr="00330A46">
        <w:trPr>
          <w:trHeight w:val="27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Estimación Capítulos 1 a 7 de gastos ORN 2017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5.222.371,10</w:t>
            </w:r>
          </w:p>
        </w:tc>
      </w:tr>
      <w:tr w:rsidR="00330A46" w:rsidRPr="00F42BE0" w:rsidTr="00330A46">
        <w:trPr>
          <w:trHeight w:val="31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I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Intereses de préstamos ORN 2017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0,00</w:t>
            </w:r>
          </w:p>
        </w:tc>
      </w:tr>
      <w:tr w:rsidR="00330A46" w:rsidRPr="00F42BE0" w:rsidTr="00330A46">
        <w:trPr>
          <w:trHeight w:val="31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J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Subtotal empleos non 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financeiros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excluidos intereses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5.222.371,10</w:t>
            </w:r>
          </w:p>
        </w:tc>
      </w:tr>
      <w:tr w:rsidR="00330A46" w:rsidRPr="00F42BE0" w:rsidTr="00330A46">
        <w:trPr>
          <w:trHeight w:val="31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Axustes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330A46" w:rsidRPr="00F42BE0" w:rsidTr="00330A46">
        <w:trPr>
          <w:trHeight w:val="27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K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Gastos pendientes aplicar (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axuste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facturas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ptes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>. 15/09/2017)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15.900,72</w:t>
            </w:r>
          </w:p>
        </w:tc>
      </w:tr>
      <w:tr w:rsidR="00330A46" w:rsidRPr="00F42BE0" w:rsidTr="00330A46">
        <w:trPr>
          <w:trHeight w:val="27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lastRenderedPageBreak/>
              <w:t>L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Gastos financiados con otras AAPP (dato liquidación 2016)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-762.341,84</w:t>
            </w:r>
          </w:p>
        </w:tc>
      </w:tr>
      <w:tr w:rsidR="00330A46" w:rsidRPr="00F42BE0" w:rsidTr="00330A46">
        <w:trPr>
          <w:trHeight w:val="27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M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Investimentos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financeiramente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color w:val="000000"/>
                <w:sz w:val="22"/>
                <w:szCs w:val="22"/>
                <w:lang w:val="es-ES"/>
              </w:rPr>
              <w:t>sostibles</w:t>
            </w:r>
            <w:proofErr w:type="spellEnd"/>
            <w:r w:rsidRPr="00F42BE0">
              <w:rPr>
                <w:color w:val="000000"/>
                <w:sz w:val="22"/>
                <w:szCs w:val="22"/>
                <w:lang w:val="es-ES"/>
              </w:rPr>
              <w:t xml:space="preserve"> RTGG 2016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0,00</w:t>
            </w:r>
          </w:p>
        </w:tc>
      </w:tr>
      <w:tr w:rsidR="00330A46" w:rsidRPr="00F42BE0" w:rsidTr="00330A46">
        <w:trPr>
          <w:trHeight w:val="27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N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Gasto computable liquidación 2017 (estimación)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4.475.929,98</w:t>
            </w:r>
          </w:p>
        </w:tc>
      </w:tr>
      <w:tr w:rsidR="00330A46" w:rsidRPr="00F42BE0" w:rsidTr="00330A46">
        <w:trPr>
          <w:trHeight w:val="27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color w:val="000000"/>
                <w:sz w:val="22"/>
                <w:szCs w:val="22"/>
                <w:lang w:val="es-ES"/>
              </w:rPr>
              <w:t>O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Cumprimento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>regra</w:t>
            </w:r>
            <w:proofErr w:type="spellEnd"/>
            <w:r w:rsidRPr="00F42BE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de gasto 2017 (estimación)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b/>
                <w:color w:val="000000"/>
                <w:sz w:val="22"/>
                <w:szCs w:val="22"/>
                <w:lang w:val="es-ES"/>
              </w:rPr>
            </w:pPr>
            <w:r w:rsidRPr="00F42BE0">
              <w:rPr>
                <w:b/>
                <w:color w:val="000000"/>
                <w:sz w:val="22"/>
                <w:szCs w:val="22"/>
                <w:lang w:val="es-ES"/>
              </w:rPr>
              <w:t>-156.255,04</w:t>
            </w:r>
          </w:p>
        </w:tc>
      </w:tr>
      <w:bookmarkEnd w:id="0"/>
    </w:tbl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b/>
          <w:bCs/>
          <w:sz w:val="22"/>
          <w:szCs w:val="22"/>
          <w:lang w:val="es-ES"/>
        </w:rPr>
      </w:pP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  <w:r w:rsidRPr="00F42BE0">
        <w:rPr>
          <w:sz w:val="22"/>
          <w:szCs w:val="22"/>
        </w:rPr>
        <w:t xml:space="preserve">Os cálculos </w:t>
      </w:r>
      <w:proofErr w:type="spellStart"/>
      <w:r w:rsidRPr="00F42BE0">
        <w:rPr>
          <w:sz w:val="22"/>
          <w:szCs w:val="22"/>
        </w:rPr>
        <w:t>recollen</w:t>
      </w:r>
      <w:proofErr w:type="spellEnd"/>
      <w:r w:rsidRPr="00F42BE0">
        <w:rPr>
          <w:sz w:val="22"/>
          <w:szCs w:val="22"/>
        </w:rPr>
        <w:t xml:space="preserve"> os datos da liquidación </w:t>
      </w:r>
      <w:proofErr w:type="spellStart"/>
      <w:r w:rsidRPr="00F42BE0">
        <w:rPr>
          <w:sz w:val="22"/>
          <w:szCs w:val="22"/>
        </w:rPr>
        <w:t>xa</w:t>
      </w:r>
      <w:proofErr w:type="spellEnd"/>
      <w:r w:rsidRPr="00F42BE0">
        <w:rPr>
          <w:sz w:val="22"/>
          <w:szCs w:val="22"/>
        </w:rPr>
        <w:t xml:space="preserve"> aprobada de 2016 e as </w:t>
      </w:r>
      <w:proofErr w:type="spellStart"/>
      <w:r w:rsidRPr="00F42BE0">
        <w:rPr>
          <w:sz w:val="22"/>
          <w:szCs w:val="22"/>
        </w:rPr>
        <w:t>estimacións</w:t>
      </w:r>
      <w:proofErr w:type="spellEnd"/>
      <w:r w:rsidRPr="00F42BE0">
        <w:rPr>
          <w:sz w:val="22"/>
          <w:szCs w:val="22"/>
        </w:rPr>
        <w:t xml:space="preserve"> efectuadas segundo o </w:t>
      </w:r>
      <w:proofErr w:type="spellStart"/>
      <w:r w:rsidRPr="00F42BE0">
        <w:rPr>
          <w:sz w:val="22"/>
          <w:szCs w:val="22"/>
        </w:rPr>
        <w:t>sinaldo</w:t>
      </w:r>
      <w:proofErr w:type="spellEnd"/>
      <w:r w:rsidRPr="00F42BE0">
        <w:rPr>
          <w:sz w:val="22"/>
          <w:szCs w:val="22"/>
        </w:rPr>
        <w:t xml:space="preserve"> no informe.</w:t>
      </w: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  <w:r w:rsidRPr="00F42BE0">
        <w:rPr>
          <w:sz w:val="22"/>
          <w:szCs w:val="22"/>
        </w:rPr>
        <w:t xml:space="preserve">Para o cálculo de incrementos permanentes, </w:t>
      </w:r>
      <w:proofErr w:type="spellStart"/>
      <w:r w:rsidRPr="00F42BE0">
        <w:rPr>
          <w:sz w:val="22"/>
          <w:szCs w:val="22"/>
        </w:rPr>
        <w:t>calculouse</w:t>
      </w:r>
      <w:proofErr w:type="spellEnd"/>
      <w:r w:rsidRPr="00F42BE0">
        <w:rPr>
          <w:sz w:val="22"/>
          <w:szCs w:val="22"/>
        </w:rPr>
        <w:t xml:space="preserve"> en </w:t>
      </w:r>
      <w:proofErr w:type="spellStart"/>
      <w:r w:rsidRPr="00F42BE0">
        <w:rPr>
          <w:sz w:val="22"/>
          <w:szCs w:val="22"/>
        </w:rPr>
        <w:t>funcíón</w:t>
      </w:r>
      <w:proofErr w:type="spellEnd"/>
      <w:r w:rsidRPr="00F42BE0">
        <w:rPr>
          <w:sz w:val="22"/>
          <w:szCs w:val="22"/>
        </w:rPr>
        <w:t xml:space="preserve"> das </w:t>
      </w:r>
      <w:proofErr w:type="spellStart"/>
      <w:r w:rsidRPr="00F42BE0">
        <w:rPr>
          <w:sz w:val="22"/>
          <w:szCs w:val="22"/>
        </w:rPr>
        <w:t>variacións</w:t>
      </w:r>
      <w:proofErr w:type="spellEnd"/>
      <w:r w:rsidRPr="00F42BE0">
        <w:rPr>
          <w:sz w:val="22"/>
          <w:szCs w:val="22"/>
        </w:rPr>
        <w:t xml:space="preserve"> dos </w:t>
      </w:r>
      <w:proofErr w:type="spellStart"/>
      <w:r w:rsidRPr="00F42BE0">
        <w:rPr>
          <w:sz w:val="22"/>
          <w:szCs w:val="22"/>
        </w:rPr>
        <w:t>padróns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fiscais</w:t>
      </w:r>
      <w:proofErr w:type="spellEnd"/>
      <w:r w:rsidRPr="00F42BE0">
        <w:rPr>
          <w:sz w:val="22"/>
          <w:szCs w:val="22"/>
        </w:rPr>
        <w:t xml:space="preserve"> do IBI aprobados </w:t>
      </w:r>
      <w:proofErr w:type="spellStart"/>
      <w:r w:rsidRPr="00F42BE0">
        <w:rPr>
          <w:sz w:val="22"/>
          <w:szCs w:val="22"/>
        </w:rPr>
        <w:t>pola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Deputación</w:t>
      </w:r>
      <w:proofErr w:type="spellEnd"/>
      <w:r w:rsidRPr="00F42BE0">
        <w:rPr>
          <w:sz w:val="22"/>
          <w:szCs w:val="22"/>
        </w:rPr>
        <w:t xml:space="preserve"> entre 2017 e 2016. Entre eses </w:t>
      </w:r>
      <w:proofErr w:type="spellStart"/>
      <w:r w:rsidRPr="00F42BE0">
        <w:rPr>
          <w:sz w:val="22"/>
          <w:szCs w:val="22"/>
        </w:rPr>
        <w:t>exercicios</w:t>
      </w:r>
      <w:proofErr w:type="spellEnd"/>
      <w:r w:rsidRPr="00F42BE0">
        <w:rPr>
          <w:sz w:val="22"/>
          <w:szCs w:val="22"/>
        </w:rPr>
        <w:t xml:space="preserve">,  resultado da ponencia de valores aprobada no 2013 con efectos do 1 de </w:t>
      </w:r>
      <w:proofErr w:type="spellStart"/>
      <w:r w:rsidRPr="00F42BE0">
        <w:rPr>
          <w:sz w:val="22"/>
          <w:szCs w:val="22"/>
        </w:rPr>
        <w:t>xaneiro</w:t>
      </w:r>
      <w:proofErr w:type="spellEnd"/>
      <w:r w:rsidRPr="00F42BE0">
        <w:rPr>
          <w:sz w:val="22"/>
          <w:szCs w:val="22"/>
        </w:rPr>
        <w:t xml:space="preserve"> de 2014,  nos que se </w:t>
      </w:r>
      <w:proofErr w:type="spellStart"/>
      <w:r w:rsidRPr="00F42BE0">
        <w:rPr>
          <w:sz w:val="22"/>
          <w:szCs w:val="22"/>
        </w:rPr>
        <w:t>vai</w:t>
      </w:r>
      <w:proofErr w:type="spellEnd"/>
      <w:r w:rsidRPr="00F42BE0">
        <w:rPr>
          <w:sz w:val="22"/>
          <w:szCs w:val="22"/>
        </w:rPr>
        <w:t xml:space="preserve">  incrementando a base liquidable e a cota tributaria do IBI durante 10 </w:t>
      </w:r>
      <w:proofErr w:type="spellStart"/>
      <w:r w:rsidRPr="00F42BE0">
        <w:rPr>
          <w:sz w:val="22"/>
          <w:szCs w:val="22"/>
        </w:rPr>
        <w:t>exercicios</w:t>
      </w:r>
      <w:proofErr w:type="spellEnd"/>
      <w:r w:rsidRPr="00F42BE0">
        <w:rPr>
          <w:sz w:val="22"/>
          <w:szCs w:val="22"/>
        </w:rPr>
        <w:t>.</w:t>
      </w: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</w:p>
    <w:tbl>
      <w:tblPr>
        <w:tblW w:w="751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756"/>
        <w:gridCol w:w="1843"/>
        <w:gridCol w:w="1417"/>
      </w:tblGrid>
      <w:tr w:rsidR="00330A46" w:rsidRPr="00F42BE0" w:rsidTr="0022515D">
        <w:trPr>
          <w:trHeight w:val="25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sz w:val="22"/>
                <w:szCs w:val="22"/>
              </w:rPr>
            </w:pPr>
            <w:r w:rsidRPr="00F42BE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sz w:val="22"/>
                <w:szCs w:val="22"/>
              </w:rPr>
            </w:pPr>
            <w:r w:rsidRPr="00F42BE0">
              <w:rPr>
                <w:b/>
                <w:sz w:val="22"/>
                <w:szCs w:val="22"/>
              </w:rPr>
              <w:t>Valor catastral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sz w:val="22"/>
                <w:szCs w:val="22"/>
              </w:rPr>
            </w:pPr>
            <w:r w:rsidRPr="00F42BE0">
              <w:rPr>
                <w:b/>
                <w:sz w:val="22"/>
                <w:szCs w:val="22"/>
              </w:rPr>
              <w:t>Base Liquidable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sz w:val="22"/>
                <w:szCs w:val="22"/>
              </w:rPr>
            </w:pPr>
            <w:r w:rsidRPr="00F42BE0">
              <w:rPr>
                <w:b/>
                <w:sz w:val="22"/>
                <w:szCs w:val="22"/>
              </w:rPr>
              <w:t>Padrón</w:t>
            </w: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PFIBI Urbana 2017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328.467.694,43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287.121.112,31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1.320.980,37</w:t>
            </w: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PFIBI Urbana 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310.384.703,59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263.362.397,02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1.217.566,08</w:t>
            </w: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  <w:proofErr w:type="spellStart"/>
            <w:r w:rsidRPr="00F42BE0">
              <w:rPr>
                <w:sz w:val="22"/>
                <w:szCs w:val="22"/>
              </w:rPr>
              <w:t>Diferenza</w:t>
            </w:r>
            <w:proofErr w:type="spellEnd"/>
            <w:r w:rsidRPr="00F42BE0">
              <w:rPr>
                <w:sz w:val="22"/>
                <w:szCs w:val="22"/>
              </w:rPr>
              <w:t xml:space="preserve"> (2017-2016)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18.082.990,84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23.758.715,29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103.414,29</w:t>
            </w: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sz w:val="22"/>
                <w:szCs w:val="22"/>
              </w:rPr>
            </w:pPr>
            <w:r w:rsidRPr="00F42BE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sz w:val="22"/>
                <w:szCs w:val="22"/>
              </w:rPr>
            </w:pPr>
            <w:r w:rsidRPr="00F42BE0">
              <w:rPr>
                <w:b/>
                <w:sz w:val="22"/>
                <w:szCs w:val="22"/>
              </w:rPr>
              <w:t>Valor catastral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sz w:val="22"/>
                <w:szCs w:val="22"/>
              </w:rPr>
            </w:pPr>
            <w:r w:rsidRPr="00F42BE0">
              <w:rPr>
                <w:b/>
                <w:sz w:val="22"/>
                <w:szCs w:val="22"/>
              </w:rPr>
              <w:t>Total Cota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sz w:val="22"/>
                <w:szCs w:val="22"/>
              </w:rPr>
            </w:pPr>
            <w:r w:rsidRPr="00F42BE0">
              <w:rPr>
                <w:b/>
                <w:sz w:val="22"/>
                <w:szCs w:val="22"/>
              </w:rPr>
              <w:t>Padrón</w:t>
            </w: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PFIBI Rústica 2017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18.963.546,03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65.842,62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65.842,62</w:t>
            </w: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PFIBI Rustica 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15.853.207,09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52.919,64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52.919,64</w:t>
            </w: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  <w:proofErr w:type="spellStart"/>
            <w:r w:rsidRPr="00F42BE0">
              <w:rPr>
                <w:sz w:val="22"/>
                <w:szCs w:val="22"/>
              </w:rPr>
              <w:t>Diferenza</w:t>
            </w:r>
            <w:proofErr w:type="spellEnd"/>
            <w:r w:rsidRPr="00F42BE0">
              <w:rPr>
                <w:sz w:val="22"/>
                <w:szCs w:val="22"/>
              </w:rPr>
              <w:t xml:space="preserve"> (2017-2016)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3.110.338,94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12.922,98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12.922,98</w:t>
            </w: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sz w:val="22"/>
                <w:szCs w:val="22"/>
              </w:rPr>
            </w:pPr>
            <w:r w:rsidRPr="00F42BE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sz w:val="22"/>
                <w:szCs w:val="22"/>
              </w:rPr>
            </w:pPr>
            <w:r w:rsidRPr="00F42BE0">
              <w:rPr>
                <w:b/>
                <w:sz w:val="22"/>
                <w:szCs w:val="22"/>
              </w:rPr>
              <w:t>Valor catastral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sz w:val="22"/>
                <w:szCs w:val="22"/>
              </w:rPr>
            </w:pPr>
            <w:r w:rsidRPr="00F42BE0">
              <w:rPr>
                <w:b/>
                <w:sz w:val="22"/>
                <w:szCs w:val="22"/>
              </w:rPr>
              <w:t>Base Liquidable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b/>
                <w:sz w:val="22"/>
                <w:szCs w:val="22"/>
              </w:rPr>
            </w:pPr>
            <w:r w:rsidRPr="00F42BE0">
              <w:rPr>
                <w:b/>
                <w:sz w:val="22"/>
                <w:szCs w:val="22"/>
              </w:rPr>
              <w:t>Padrón</w:t>
            </w: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PFIBI BICES 2017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11.742.733,90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6.248.444,54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81.229,78</w:t>
            </w: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PFIBI BICES 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11.742.733,90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6.100.844,02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79.310,97</w:t>
            </w:r>
          </w:p>
        </w:tc>
      </w:tr>
      <w:tr w:rsidR="00330A46" w:rsidRPr="00F42BE0" w:rsidTr="0022515D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rPr>
                <w:sz w:val="22"/>
                <w:szCs w:val="22"/>
              </w:rPr>
            </w:pPr>
            <w:proofErr w:type="spellStart"/>
            <w:r w:rsidRPr="00F42BE0">
              <w:rPr>
                <w:sz w:val="22"/>
                <w:szCs w:val="22"/>
              </w:rPr>
              <w:t>Diferenza</w:t>
            </w:r>
            <w:proofErr w:type="spellEnd"/>
            <w:r w:rsidRPr="00F42BE0">
              <w:rPr>
                <w:sz w:val="22"/>
                <w:szCs w:val="22"/>
              </w:rPr>
              <w:t xml:space="preserve"> (2017-2016)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147.600,52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6" w:rsidRPr="00F42BE0" w:rsidRDefault="00330A46" w:rsidP="0022515D">
            <w:pPr>
              <w:jc w:val="right"/>
              <w:rPr>
                <w:sz w:val="22"/>
                <w:szCs w:val="22"/>
              </w:rPr>
            </w:pPr>
            <w:r w:rsidRPr="00F42BE0">
              <w:rPr>
                <w:sz w:val="22"/>
                <w:szCs w:val="22"/>
              </w:rPr>
              <w:t>1.918,81</w:t>
            </w:r>
          </w:p>
        </w:tc>
      </w:tr>
    </w:tbl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jc w:val="both"/>
        <w:rPr>
          <w:sz w:val="22"/>
          <w:szCs w:val="22"/>
        </w:rPr>
      </w:pPr>
      <w:proofErr w:type="spellStart"/>
      <w:r w:rsidRPr="00F42BE0">
        <w:rPr>
          <w:sz w:val="22"/>
          <w:szCs w:val="22"/>
        </w:rPr>
        <w:t>Estímase</w:t>
      </w:r>
      <w:proofErr w:type="spellEnd"/>
      <w:r w:rsidRPr="00F42BE0">
        <w:rPr>
          <w:sz w:val="22"/>
          <w:szCs w:val="22"/>
        </w:rPr>
        <w:t xml:space="preserve"> que o Concello </w:t>
      </w:r>
      <w:proofErr w:type="spellStart"/>
      <w:r w:rsidRPr="00F42BE0">
        <w:rPr>
          <w:sz w:val="22"/>
          <w:szCs w:val="22"/>
        </w:rPr>
        <w:t>cumprirá</w:t>
      </w:r>
      <w:proofErr w:type="spellEnd"/>
      <w:r w:rsidRPr="00F42BE0">
        <w:rPr>
          <w:sz w:val="22"/>
          <w:szCs w:val="22"/>
        </w:rPr>
        <w:t xml:space="preserve"> tanto o criterio de </w:t>
      </w:r>
      <w:proofErr w:type="spellStart"/>
      <w:r w:rsidRPr="00F42BE0">
        <w:rPr>
          <w:sz w:val="22"/>
          <w:szCs w:val="22"/>
        </w:rPr>
        <w:t>estabilidade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orzamentaria</w:t>
      </w:r>
      <w:proofErr w:type="spellEnd"/>
      <w:r w:rsidRPr="00F42BE0">
        <w:rPr>
          <w:sz w:val="22"/>
          <w:szCs w:val="22"/>
        </w:rPr>
        <w:t xml:space="preserve"> </w:t>
      </w:r>
      <w:proofErr w:type="spellStart"/>
      <w:r w:rsidRPr="00F42BE0">
        <w:rPr>
          <w:sz w:val="22"/>
          <w:szCs w:val="22"/>
        </w:rPr>
        <w:t>cun</w:t>
      </w:r>
      <w:proofErr w:type="spellEnd"/>
      <w:r w:rsidRPr="00F42BE0">
        <w:rPr>
          <w:sz w:val="22"/>
          <w:szCs w:val="22"/>
        </w:rPr>
        <w:t xml:space="preserve"> superávit </w:t>
      </w:r>
      <w:proofErr w:type="spellStart"/>
      <w:r w:rsidRPr="00F42BE0">
        <w:rPr>
          <w:sz w:val="22"/>
          <w:szCs w:val="22"/>
        </w:rPr>
        <w:t>orzamentario</w:t>
      </w:r>
      <w:proofErr w:type="spellEnd"/>
      <w:r w:rsidRPr="00F42BE0">
        <w:rPr>
          <w:sz w:val="22"/>
          <w:szCs w:val="22"/>
        </w:rPr>
        <w:t xml:space="preserve"> de </w:t>
      </w:r>
      <w:r w:rsidRPr="00F42BE0">
        <w:rPr>
          <w:b/>
          <w:sz w:val="22"/>
          <w:szCs w:val="22"/>
        </w:rPr>
        <w:t>164.783,45 €</w:t>
      </w:r>
      <w:r w:rsidRPr="00F42BE0">
        <w:rPr>
          <w:sz w:val="22"/>
          <w:szCs w:val="22"/>
        </w:rPr>
        <w:t xml:space="preserve"> como que se pode </w:t>
      </w:r>
      <w:proofErr w:type="spellStart"/>
      <w:r w:rsidRPr="00F42BE0">
        <w:rPr>
          <w:b/>
          <w:sz w:val="22"/>
          <w:szCs w:val="22"/>
          <w:u w:val="single"/>
        </w:rPr>
        <w:t>incumprir</w:t>
      </w:r>
      <w:proofErr w:type="spellEnd"/>
      <w:r w:rsidRPr="00F42BE0">
        <w:rPr>
          <w:sz w:val="22"/>
          <w:szCs w:val="22"/>
        </w:rPr>
        <w:t xml:space="preserve"> a </w:t>
      </w:r>
      <w:proofErr w:type="spellStart"/>
      <w:r w:rsidRPr="00F42BE0">
        <w:rPr>
          <w:sz w:val="22"/>
          <w:szCs w:val="22"/>
        </w:rPr>
        <w:t>regra</w:t>
      </w:r>
      <w:proofErr w:type="spellEnd"/>
      <w:r w:rsidRPr="00F42BE0">
        <w:rPr>
          <w:sz w:val="22"/>
          <w:szCs w:val="22"/>
        </w:rPr>
        <w:t xml:space="preserve"> de gasto na liquidación de 2017 en  </w:t>
      </w:r>
      <w:r w:rsidRPr="00F42BE0">
        <w:rPr>
          <w:b/>
          <w:sz w:val="22"/>
          <w:szCs w:val="22"/>
        </w:rPr>
        <w:t>-156.255,04€</w:t>
      </w:r>
      <w:r w:rsidRPr="00F42BE0">
        <w:rPr>
          <w:sz w:val="22"/>
          <w:szCs w:val="22"/>
        </w:rPr>
        <w:t xml:space="preserve"> segundo as </w:t>
      </w:r>
      <w:proofErr w:type="spellStart"/>
      <w:r w:rsidRPr="00F42BE0">
        <w:rPr>
          <w:sz w:val="22"/>
          <w:szCs w:val="22"/>
        </w:rPr>
        <w:t>estimacións</w:t>
      </w:r>
      <w:proofErr w:type="spellEnd"/>
      <w:r w:rsidRPr="00F42BE0">
        <w:rPr>
          <w:sz w:val="22"/>
          <w:szCs w:val="22"/>
        </w:rPr>
        <w:t xml:space="preserve"> realizadas.</w:t>
      </w:r>
    </w:p>
    <w:p w:rsidR="00330A46" w:rsidRPr="00F42BE0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rPr>
          <w:sz w:val="22"/>
          <w:szCs w:val="22"/>
        </w:rPr>
      </w:pPr>
    </w:p>
    <w:p w:rsidR="007B396A" w:rsidRPr="00330A46" w:rsidRDefault="00330A46" w:rsidP="00330A46">
      <w:pPr>
        <w:pStyle w:val="Sangradetextonormal"/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720"/>
        </w:tabs>
        <w:jc w:val="both"/>
        <w:rPr>
          <w:b/>
          <w:sz w:val="22"/>
          <w:szCs w:val="22"/>
        </w:rPr>
      </w:pPr>
      <w:r w:rsidRPr="00F42BE0">
        <w:rPr>
          <w:sz w:val="22"/>
          <w:szCs w:val="22"/>
        </w:rPr>
        <w:t xml:space="preserve">Debe terse en </w:t>
      </w:r>
      <w:proofErr w:type="spellStart"/>
      <w:r w:rsidRPr="00F42BE0">
        <w:rPr>
          <w:sz w:val="22"/>
          <w:szCs w:val="22"/>
        </w:rPr>
        <w:t>conta</w:t>
      </w:r>
      <w:proofErr w:type="spellEnd"/>
      <w:r w:rsidRPr="00F42BE0">
        <w:rPr>
          <w:sz w:val="22"/>
          <w:szCs w:val="22"/>
        </w:rPr>
        <w:t xml:space="preserve"> seriamente a </w:t>
      </w:r>
      <w:proofErr w:type="spellStart"/>
      <w:r w:rsidRPr="00F42BE0">
        <w:rPr>
          <w:sz w:val="22"/>
          <w:szCs w:val="22"/>
        </w:rPr>
        <w:t>posiblidade</w:t>
      </w:r>
      <w:proofErr w:type="spellEnd"/>
      <w:r w:rsidRPr="00F42BE0">
        <w:rPr>
          <w:sz w:val="22"/>
          <w:szCs w:val="22"/>
        </w:rPr>
        <w:t xml:space="preserve"> do </w:t>
      </w:r>
      <w:proofErr w:type="spellStart"/>
      <w:r w:rsidRPr="00F42BE0">
        <w:rPr>
          <w:sz w:val="22"/>
          <w:szCs w:val="22"/>
        </w:rPr>
        <w:t>incumprimento</w:t>
      </w:r>
      <w:proofErr w:type="spellEnd"/>
      <w:r w:rsidRPr="00F42BE0">
        <w:rPr>
          <w:sz w:val="22"/>
          <w:szCs w:val="22"/>
        </w:rPr>
        <w:t xml:space="preserve"> da </w:t>
      </w:r>
      <w:proofErr w:type="spellStart"/>
      <w:r w:rsidRPr="00F42BE0">
        <w:rPr>
          <w:sz w:val="22"/>
          <w:szCs w:val="22"/>
        </w:rPr>
        <w:t>regra</w:t>
      </w:r>
      <w:proofErr w:type="spellEnd"/>
      <w:r w:rsidRPr="00F42BE0">
        <w:rPr>
          <w:sz w:val="22"/>
          <w:szCs w:val="22"/>
        </w:rPr>
        <w:t xml:space="preserve"> de gasto, que </w:t>
      </w:r>
      <w:r w:rsidRPr="00F42BE0">
        <w:rPr>
          <w:b/>
          <w:sz w:val="22"/>
          <w:szCs w:val="22"/>
        </w:rPr>
        <w:t xml:space="preserve">no </w:t>
      </w:r>
      <w:proofErr w:type="spellStart"/>
      <w:r w:rsidRPr="00F42BE0">
        <w:rPr>
          <w:b/>
          <w:sz w:val="22"/>
          <w:szCs w:val="22"/>
        </w:rPr>
        <w:t>seu</w:t>
      </w:r>
      <w:proofErr w:type="spellEnd"/>
      <w:r w:rsidRPr="00F42BE0">
        <w:rPr>
          <w:b/>
          <w:sz w:val="22"/>
          <w:szCs w:val="22"/>
        </w:rPr>
        <w:t xml:space="preserve"> caso ocasionaría a aprobación </w:t>
      </w:r>
      <w:proofErr w:type="spellStart"/>
      <w:r w:rsidRPr="00F42BE0">
        <w:rPr>
          <w:b/>
          <w:sz w:val="22"/>
          <w:szCs w:val="22"/>
        </w:rPr>
        <w:t>dun</w:t>
      </w:r>
      <w:proofErr w:type="spellEnd"/>
      <w:r w:rsidRPr="00F42BE0">
        <w:rPr>
          <w:b/>
          <w:sz w:val="22"/>
          <w:szCs w:val="22"/>
        </w:rPr>
        <w:t xml:space="preserve"> </w:t>
      </w:r>
      <w:proofErr w:type="spellStart"/>
      <w:r w:rsidRPr="00F42BE0">
        <w:rPr>
          <w:b/>
          <w:sz w:val="22"/>
          <w:szCs w:val="22"/>
        </w:rPr>
        <w:t>novo</w:t>
      </w:r>
      <w:proofErr w:type="spellEnd"/>
      <w:r w:rsidRPr="00F42BE0">
        <w:rPr>
          <w:b/>
          <w:sz w:val="22"/>
          <w:szCs w:val="22"/>
        </w:rPr>
        <w:t xml:space="preserve"> pla</w:t>
      </w:r>
      <w:r>
        <w:rPr>
          <w:b/>
          <w:sz w:val="22"/>
          <w:szCs w:val="22"/>
        </w:rPr>
        <w:t>n económico-</w:t>
      </w:r>
      <w:proofErr w:type="spellStart"/>
      <w:r>
        <w:rPr>
          <w:b/>
          <w:sz w:val="22"/>
          <w:szCs w:val="22"/>
        </w:rPr>
        <w:t>financeiro</w:t>
      </w:r>
      <w:proofErr w:type="spellEnd"/>
      <w:r>
        <w:rPr>
          <w:b/>
          <w:sz w:val="22"/>
          <w:szCs w:val="22"/>
        </w:rPr>
        <w:t>.</w:t>
      </w:r>
    </w:p>
    <w:sectPr w:rsidR="007B396A" w:rsidRPr="00330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5253"/>
    <w:multiLevelType w:val="singleLevel"/>
    <w:tmpl w:val="482E98F4"/>
    <w:lvl w:ilvl="0">
      <w:start w:val="1"/>
      <w:numFmt w:val="bullet"/>
      <w:lvlText w:val=""/>
      <w:lvlJc w:val="left"/>
      <w:pPr>
        <w:tabs>
          <w:tab w:val="num" w:pos="1381"/>
        </w:tabs>
        <w:ind w:left="1361" w:hanging="340"/>
      </w:pPr>
      <w:rPr>
        <w:rFonts w:ascii="Wingdings" w:hAnsi="Wingdings" w:cs="Wingdings" w:hint="default"/>
        <w:sz w:val="16"/>
        <w:szCs w:val="16"/>
      </w:rPr>
    </w:lvl>
  </w:abstractNum>
  <w:abstractNum w:abstractNumId="1">
    <w:nsid w:val="5B645916"/>
    <w:multiLevelType w:val="singleLevel"/>
    <w:tmpl w:val="757C9552"/>
    <w:lvl w:ilvl="0">
      <w:start w:val="1"/>
      <w:numFmt w:val="lowerLetter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2">
    <w:nsid w:val="6EDD57EF"/>
    <w:multiLevelType w:val="singleLevel"/>
    <w:tmpl w:val="482E98F4"/>
    <w:lvl w:ilvl="0">
      <w:start w:val="1"/>
      <w:numFmt w:val="bullet"/>
      <w:lvlText w:val=""/>
      <w:lvlJc w:val="left"/>
      <w:pPr>
        <w:tabs>
          <w:tab w:val="num" w:pos="1381"/>
        </w:tabs>
        <w:ind w:left="1361" w:hanging="34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6"/>
    <w:rsid w:val="00330A46"/>
    <w:rsid w:val="007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330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0A46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0A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0A46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0A4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0A46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customStyle="1" w:styleId="Default">
    <w:name w:val="Default"/>
    <w:rsid w:val="00330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330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0A46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0A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0A46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0A4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0A46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customStyle="1" w:styleId="Default">
    <w:name w:val="Default"/>
    <w:rsid w:val="00330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3195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2018-01-18T10:56:00Z</dcterms:created>
  <dcterms:modified xsi:type="dcterms:W3CDTF">2018-01-18T11:01:00Z</dcterms:modified>
</cp:coreProperties>
</file>