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b/>
          <w:bCs/>
        </w:rPr>
      </w:pPr>
      <w:bookmarkStart w:id="0" w:name="_GoBack"/>
      <w:r w:rsidRPr="00482914">
        <w:rPr>
          <w:rFonts w:asciiTheme="minorHAnsi" w:hAnsiTheme="minorHAnsi" w:cstheme="minorHAnsi"/>
          <w:b/>
          <w:bCs/>
        </w:rPr>
        <w:t>INFORME DE INTERVENCIÓN DE REPAROS E ANOMALÍAS EN MATERIA DE INGRESOS NO 201</w:t>
      </w:r>
      <w:r w:rsidRPr="00482914">
        <w:rPr>
          <w:rFonts w:asciiTheme="minorHAnsi" w:hAnsiTheme="minorHAnsi" w:cstheme="minorHAnsi"/>
          <w:b/>
          <w:bCs/>
        </w:rPr>
        <w:t>7</w:t>
      </w:r>
    </w:p>
    <w:bookmarkEnd w:id="0"/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914">
        <w:rPr>
          <w:rFonts w:asciiTheme="minorHAnsi" w:hAnsiTheme="minorHAnsi" w:cstheme="minorHAnsi"/>
          <w:b/>
          <w:bCs/>
          <w:sz w:val="22"/>
          <w:szCs w:val="22"/>
        </w:rPr>
        <w:t>REPAROS E ANOMALÍAS EN MATERIA DE INGRESOS NO 2017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sz w:val="22"/>
          <w:szCs w:val="22"/>
        </w:rPr>
        <w:t xml:space="preserve">O presente informe-anexo ten como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ofrecer información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completa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concelleiros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do Concello respecto de lo estipulado no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artígo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218 do Real Decreto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Lexislativo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2/2004, de 5 de marzo, polo que se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aproba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o Texto Refundido da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39/88, de 28 de </w:t>
      </w:r>
      <w:proofErr w:type="spellStart"/>
      <w:proofErr w:type="gramStart"/>
      <w:r w:rsidRPr="00482914">
        <w:rPr>
          <w:rFonts w:asciiTheme="minorHAnsi" w:hAnsiTheme="minorHAnsi" w:cstheme="minorHAnsi"/>
          <w:sz w:val="22"/>
          <w:szCs w:val="22"/>
        </w:rPr>
        <w:t>dicembro,Reguladora</w:t>
      </w:r>
      <w:proofErr w:type="spellEnd"/>
      <w:proofErr w:type="gramEnd"/>
      <w:r w:rsidRPr="00482914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Facendas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Locais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(TRLRFL).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sz w:val="22"/>
          <w:szCs w:val="22"/>
        </w:rPr>
        <w:t xml:space="preserve">O artigo 218 do TRLRFL, modificado pola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27/2013 de racionalización 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sostenibilidade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da Administración Local,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sinala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respecto:</w:t>
      </w:r>
    </w:p>
    <w:p w:rsidR="00482914" w:rsidRPr="00482914" w:rsidRDefault="00482914" w:rsidP="00482914">
      <w:pPr>
        <w:autoSpaceDE w:val="0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82914">
        <w:rPr>
          <w:rFonts w:asciiTheme="minorHAnsi" w:hAnsiTheme="minorHAnsi" w:cstheme="minorHAnsi"/>
          <w:i/>
          <w:iCs/>
          <w:sz w:val="22"/>
          <w:szCs w:val="22"/>
        </w:rPr>
        <w:t>“1. El órgano interventor elevará informe al Pleno de todas las resoluciones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adoptadas por el </w:t>
      </w:r>
      <w:proofErr w:type="gramStart"/>
      <w:r w:rsidRPr="00482914">
        <w:rPr>
          <w:rFonts w:asciiTheme="minorHAnsi" w:hAnsiTheme="minorHAnsi" w:cstheme="minorHAnsi"/>
          <w:i/>
          <w:iCs/>
          <w:sz w:val="22"/>
          <w:szCs w:val="22"/>
        </w:rPr>
        <w:t>Presidente</w:t>
      </w:r>
      <w:proofErr w:type="gramEnd"/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 de la Entidad Local contrarias a los reparos efectuados, así como un resumen de las principales anomalías detectadas en materia de ingresos. Dicho informe atenderá únicamente a aspectos y cometidos propios del ejercicio de la función fiscalizadora, sin incluir cuestiones de oportunidad o conveniencia de las actuaciones que fiscalice.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82914">
        <w:rPr>
          <w:rFonts w:asciiTheme="minorHAnsi" w:hAnsiTheme="minorHAnsi" w:cstheme="minorHAnsi"/>
          <w:i/>
          <w:iCs/>
          <w:sz w:val="22"/>
          <w:szCs w:val="22"/>
        </w:rPr>
        <w:t>Lo contenido en este apartado constituirá un punto independiente en el orden del día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82914">
        <w:rPr>
          <w:rFonts w:asciiTheme="minorHAnsi" w:hAnsiTheme="minorHAnsi" w:cstheme="minorHAnsi"/>
          <w:i/>
          <w:iCs/>
          <w:sz w:val="22"/>
          <w:szCs w:val="22"/>
        </w:rPr>
        <w:t>de la correspondiente sesión plenaria.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El </w:t>
      </w:r>
      <w:proofErr w:type="gramStart"/>
      <w:r w:rsidRPr="00482914">
        <w:rPr>
          <w:rFonts w:asciiTheme="minorHAnsi" w:hAnsiTheme="minorHAnsi" w:cstheme="minorHAnsi"/>
          <w:i/>
          <w:iCs/>
          <w:sz w:val="22"/>
          <w:szCs w:val="22"/>
        </w:rPr>
        <w:t>Presidente</w:t>
      </w:r>
      <w:proofErr w:type="gramEnd"/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 de la Corporación podrá presentar en el Pleno informe justificativo de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82914">
        <w:rPr>
          <w:rFonts w:asciiTheme="minorHAnsi" w:hAnsiTheme="minorHAnsi" w:cstheme="minorHAnsi"/>
          <w:i/>
          <w:iCs/>
          <w:sz w:val="22"/>
          <w:szCs w:val="22"/>
        </w:rPr>
        <w:t>su actuación.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2. Sin perjuicio de lo anterior, cuando existan discrepancias, el </w:t>
      </w:r>
      <w:proofErr w:type="gramStart"/>
      <w:r w:rsidRPr="00482914">
        <w:rPr>
          <w:rFonts w:asciiTheme="minorHAnsi" w:hAnsiTheme="minorHAnsi" w:cstheme="minorHAnsi"/>
          <w:i/>
          <w:iCs/>
          <w:sz w:val="22"/>
          <w:szCs w:val="22"/>
        </w:rPr>
        <w:t>Presidente</w:t>
      </w:r>
      <w:proofErr w:type="gramEnd"/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 de 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82914">
        <w:rPr>
          <w:rFonts w:asciiTheme="minorHAnsi" w:hAnsiTheme="minorHAnsi" w:cstheme="minorHAnsi"/>
          <w:i/>
          <w:iCs/>
          <w:sz w:val="22"/>
          <w:szCs w:val="22"/>
        </w:rPr>
        <w:t>Entidad Local podrá elevar su resolución al órgano de control competente por razón de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82914">
        <w:rPr>
          <w:rFonts w:asciiTheme="minorHAnsi" w:hAnsiTheme="minorHAnsi" w:cstheme="minorHAnsi"/>
          <w:i/>
          <w:iCs/>
          <w:sz w:val="22"/>
          <w:szCs w:val="22"/>
        </w:rPr>
        <w:t>la materia de la Administración que tenga atribuida la tutela financiera.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3. El órgano interventor remitirá anualmente al Tribunal de Cuentas todas las resoluciones y acuerdos adoptados por el </w:t>
      </w:r>
      <w:proofErr w:type="gramStart"/>
      <w:r w:rsidRPr="00482914">
        <w:rPr>
          <w:rFonts w:asciiTheme="minorHAnsi" w:hAnsiTheme="minorHAnsi" w:cstheme="minorHAnsi"/>
          <w:i/>
          <w:iCs/>
          <w:sz w:val="22"/>
          <w:szCs w:val="22"/>
        </w:rPr>
        <w:t>Presidente</w:t>
      </w:r>
      <w:proofErr w:type="gramEnd"/>
      <w:r w:rsidRPr="00482914">
        <w:rPr>
          <w:rFonts w:asciiTheme="minorHAnsi" w:hAnsiTheme="minorHAnsi" w:cstheme="minorHAnsi"/>
          <w:i/>
          <w:iCs/>
          <w:sz w:val="22"/>
          <w:szCs w:val="22"/>
        </w:rPr>
        <w:t xml:space="preserve"> de la Entidad Local y por el Pleno de la Corporación contrarios a los reparos formulados, así como un resumen de las principales anomalías detectadas en materia de ingresos. A la citada documentación deberá acompañar, en su caso, los informes justificativos presentados por la Corporación local.”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disposto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anteriormente,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elévase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Pleno informe comprensivo das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resolucións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contrarias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reparos efectuados.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Inclúense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también os reparos levantados polo Pleno para facilitar a rendición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Tribunal de Contas e que 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membros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da corporación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teñan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coñecemento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da relación completa a remitir.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82914">
        <w:rPr>
          <w:rFonts w:asciiTheme="minorHAnsi" w:hAnsiTheme="minorHAnsi" w:cstheme="minorHAnsi"/>
          <w:b/>
          <w:sz w:val="22"/>
          <w:szCs w:val="22"/>
        </w:rPr>
        <w:t>Primeiro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. Esta Intervención municipal ten constancia dos siguientes informes de reparo efectuados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resoltos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2017,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facendo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un total de 50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rexistros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que seguidamente se relacionan:</w:t>
      </w: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4261"/>
        <w:gridCol w:w="1417"/>
        <w:gridCol w:w="1701"/>
        <w:gridCol w:w="1144"/>
      </w:tblGrid>
      <w:tr w:rsidR="00482914" w:rsidRPr="00482914" w:rsidTr="00EE5F41">
        <w:trPr>
          <w:trHeight w:val="50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REPARO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ORGANO RESOLUCION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LEVANTAMENTO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</w:t>
            </w:r>
            <w:proofErr w:type="spellEnd"/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DECRETO</w:t>
            </w:r>
          </w:p>
        </w:tc>
      </w:tr>
      <w:tr w:rsidR="00482914" w:rsidRPr="00482914" w:rsidTr="00EE5F41">
        <w:trPr>
          <w:trHeight w:val="556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09/01/2017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CONTRATACION MONITORES DEPORTIVOS DURANTE O PRIMEIRO SEMESTRE DE 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09/01/2017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06/2017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13/01/2017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DE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16/01/2017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11/2017</w:t>
            </w:r>
          </w:p>
        </w:tc>
      </w:tr>
      <w:tr w:rsidR="00482914" w:rsidRPr="00482914" w:rsidTr="00EE5F41">
        <w:trPr>
          <w:trHeight w:val="65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20/01/2017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DO EXERCICIO DAS FUNCIONS DE TESOURERIA POR FUNCIONARIO PROPIO DA CORPORACIÓN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20/01/2017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21/2017</w:t>
            </w:r>
          </w:p>
        </w:tc>
      </w:tr>
      <w:tr w:rsidR="00482914" w:rsidRPr="00482914" w:rsidTr="00EE5F41">
        <w:trPr>
          <w:trHeight w:val="43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27/01/2017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DE APROBACION DE FACTURAS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27/01/2017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29/2017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09/02/2017</w:t>
            </w:r>
          </w:p>
          <w:p w:rsidR="00482914" w:rsidRPr="00482914" w:rsidRDefault="00482914" w:rsidP="00EE5F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14/02/2017</w:t>
            </w:r>
          </w:p>
          <w:p w:rsidR="00482914" w:rsidRPr="00482914" w:rsidRDefault="00482914" w:rsidP="00EE5F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20/02/2017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ADQUISICION INMOBLE OBRA SANEAMENTO EN AS PONTIGAS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18/02/2017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61/2017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18/02/2017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1-2017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23/02/2017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757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22/02/2017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APROBACIÓN PLAN PROVINCIAL DE COOPERACION AS OBRAS E SERVIZOS DE COMPETENCIA MUNICIPAL. POS+2017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23/02/2017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712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15/03/2017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CONTRATO PARQUES INFANTIS NA RUA ORTIGUERIA E PASEO DE MAGDALENA- PAS 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29/03/2017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21/09/2016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2-2017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23/02/2017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82914" w:rsidRPr="00482914" w:rsidTr="00EE5F41">
        <w:trPr>
          <w:trHeight w:val="656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22/03/2017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SOBRE CONVENIO CON AGADIC PARA CINEMAS DE GALICIA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23/03/2017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102/2017</w:t>
            </w:r>
          </w:p>
        </w:tc>
      </w:tr>
      <w:tr w:rsidR="00482914" w:rsidRPr="00482914" w:rsidTr="00EE5F41">
        <w:trPr>
          <w:trHeight w:val="425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22/03/2017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22/03/2017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101/2017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28/03/2017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CONVENIO COA COFRADIA DE PESCADORES DE CEDEIRA 2017-2018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29/03/2017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122/2017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21/03/2017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3-2017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29/03/2017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05/05/2017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05/05/2017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190/2017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05/05/2017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BASES DE SELECCIÓN DE PERSOAL DE AUXILARES DE POLICIA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08/05/2017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200/2017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11/05/2017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AXUDAS PROGRAMA CEDEIRA EMPRENDE 2016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09/08/2017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358/2017</w:t>
            </w:r>
          </w:p>
        </w:tc>
      </w:tr>
      <w:tr w:rsidR="00482914" w:rsidRPr="00482914" w:rsidTr="00EE5F41">
        <w:trPr>
          <w:trHeight w:val="365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06/06/2017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CONTRATACION PERSOAL 3 AUXILIARES POLICIA LOCAL</w:t>
            </w:r>
          </w:p>
        </w:tc>
        <w:tc>
          <w:tcPr>
            <w:tcW w:w="42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SUBSANADO</w:t>
            </w:r>
          </w:p>
          <w:p w:rsidR="00482914" w:rsidRPr="00482914" w:rsidRDefault="00482914" w:rsidP="00EE5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18/05/2017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5-2017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31/05/2017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579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19/05/2017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CONTRATACION LABORAL TEMPORAL CATRO PEONS EXECUCION OBRAS E SERVIZOS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19/05/2017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212/2017</w:t>
            </w:r>
          </w:p>
        </w:tc>
      </w:tr>
      <w:tr w:rsidR="00482914" w:rsidRPr="00482914" w:rsidTr="00EE5F41">
        <w:trPr>
          <w:trHeight w:val="686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15/06/2017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ADXUDICACION DA CESION DO DEREITO PARA CONSERVAR RESTOS NO CEMITERIO MUNICIPAL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16/06/2017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259/2017</w:t>
            </w:r>
          </w:p>
        </w:tc>
      </w:tr>
      <w:tr w:rsidR="00482914" w:rsidRPr="00482914" w:rsidTr="00EE5F41">
        <w:trPr>
          <w:trHeight w:val="413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16/06/2017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16/06/2017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260/2017</w:t>
            </w:r>
          </w:p>
        </w:tc>
      </w:tr>
      <w:tr w:rsidR="00482914" w:rsidRPr="00482914" w:rsidTr="00EE5F41">
        <w:trPr>
          <w:trHeight w:val="561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22/06/2017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EXPEDIENTE REMANENTE TESOURERIA PARA GASTOS XERAIS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13/07/2017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273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23/06/2017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 xml:space="preserve">REPARO HORAS EXTRAORDINARIAS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26/06/2017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270/2017</w:t>
            </w:r>
          </w:p>
        </w:tc>
      </w:tr>
      <w:tr w:rsidR="00482914" w:rsidRPr="00482914" w:rsidTr="00EE5F41">
        <w:trPr>
          <w:trHeight w:val="38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29/06/2017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29/06/2017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292/2017</w:t>
            </w:r>
          </w:p>
        </w:tc>
      </w:tr>
      <w:tr w:rsidR="00482914" w:rsidRPr="00482914" w:rsidTr="00EE5F41">
        <w:trPr>
          <w:trHeight w:val="474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30/06/2017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PROXECTO- MELLORA DE SANEAMENTO EN CEDEIRA FASE I. UTE PROYFE-ICEACSA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13/07/2017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05/07/2017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6-2017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13/07/2017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529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07/07/2017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CONTRATACION DO SERVIZO DE XESTION ENERXÉTICA MUNICIPAL 2016-2017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01/08/2017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529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19/07/2017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CONVENIO CENTRO DE INFORMACION A MULLER EXERCICIO 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20/07/2017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329/2017</w:t>
            </w:r>
          </w:p>
        </w:tc>
      </w:tr>
      <w:tr w:rsidR="00482914" w:rsidRPr="00482914" w:rsidTr="00EE5F41">
        <w:trPr>
          <w:trHeight w:val="42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20/07/2017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20/07/2017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323/2017</w:t>
            </w:r>
          </w:p>
        </w:tc>
      </w:tr>
      <w:tr w:rsidR="00482914" w:rsidRPr="00482914" w:rsidTr="00EE5F41">
        <w:trPr>
          <w:trHeight w:val="432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21/07/2017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24/07/2017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334/2017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05/09/2017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PREMIOS II CONCUROS DE FOTOGRAFIA OBXECTIVO CEDEIRA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06/09/2017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397/2017</w:t>
            </w:r>
          </w:p>
        </w:tc>
      </w:tr>
      <w:tr w:rsidR="00482914" w:rsidRPr="00482914" w:rsidTr="00EE5F41">
        <w:trPr>
          <w:trHeight w:val="45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12/09/2017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12/09/2017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408/2017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19/09/2017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7-2017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27/09/2017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274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28/09/2017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42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SUBSANADO</w:t>
            </w:r>
          </w:p>
        </w:tc>
      </w:tr>
      <w:tr w:rsidR="00482914" w:rsidRPr="00482914" w:rsidTr="00EE5F41">
        <w:trPr>
          <w:trHeight w:val="452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04/10/2017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04/10/2017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443/2017</w:t>
            </w:r>
          </w:p>
        </w:tc>
      </w:tr>
      <w:tr w:rsidR="00482914" w:rsidRPr="00482914" w:rsidTr="00EE5F41">
        <w:trPr>
          <w:trHeight w:val="357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28/09/2017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24/10/2017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467/2017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27/09/2017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FISCALIZACION DE GRATIFICACIONS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26/10/2017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474/2017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18/10/2017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 xml:space="preserve">REPARO </w:t>
            </w:r>
            <w:proofErr w:type="gramStart"/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CONTRATACION  EN</w:t>
            </w:r>
            <w:proofErr w:type="gramEnd"/>
            <w:r w:rsidRPr="00482914">
              <w:rPr>
                <w:rFonts w:asciiTheme="minorHAnsi" w:hAnsiTheme="minorHAnsi" w:cstheme="minorHAnsi"/>
                <w:sz w:val="18"/>
                <w:szCs w:val="18"/>
              </w:rPr>
              <w:t xml:space="preserve"> SUBSTITUCION DE LIMPADORA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19/10/2017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463/2017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19/10/2017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APROBACIÓN CAMBIO USO PARCELA EN RUA ORTIGUEIRA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31/10/2017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602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25/10/2017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 xml:space="preserve">REPARO PROXECTO FACTURAS SINALIZACION TURISTICA ARCOS E CANTIS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25/10/2017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471/2017</w:t>
            </w:r>
          </w:p>
        </w:tc>
      </w:tr>
      <w:tr w:rsidR="00482914" w:rsidRPr="00482914" w:rsidTr="00EE5F41">
        <w:trPr>
          <w:trHeight w:val="57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13/10/2017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EXPEDIENTE INSTALACION DE REDE SEN FIOS EN NUCLEOS RURAIS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31/10/2017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488/2017</w:t>
            </w:r>
          </w:p>
        </w:tc>
      </w:tr>
      <w:tr w:rsidR="00482914" w:rsidRPr="00482914" w:rsidTr="00EE5F41">
        <w:trPr>
          <w:trHeight w:val="62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30/10/2017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 PROXECTO REPARACION EN FIRME CAMIÑOS MUNICIPAIS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31/10/2017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486/2017</w:t>
            </w:r>
          </w:p>
        </w:tc>
      </w:tr>
      <w:tr w:rsidR="00482914" w:rsidRPr="00482914" w:rsidTr="00EE5F41">
        <w:trPr>
          <w:trHeight w:val="349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03/11/2017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APROBACION DE FACTURAS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04/11/2017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492/2017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16/11/2017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XUSTIFICACION SUBVENCIÓN COMISION FESTAS</w:t>
            </w:r>
          </w:p>
        </w:tc>
        <w:tc>
          <w:tcPr>
            <w:tcW w:w="42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2914" w:rsidRPr="00482914" w:rsidRDefault="00482914" w:rsidP="00EE5F4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PENDENTE DE RESOLVER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21/11/2017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8-2017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19/12/2017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6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24/11/2017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A PREMIOS XOGOS POPULARES E CASTELOS DE AREA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24/11/2017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536/2017</w:t>
            </w:r>
          </w:p>
        </w:tc>
      </w:tr>
      <w:tr w:rsidR="00482914" w:rsidRPr="00482914" w:rsidTr="00EE5F41">
        <w:trPr>
          <w:trHeight w:val="447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05/12/2017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FACTURA BRIGADA INCENDIOS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05/12/2017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556/2017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11/12/2017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4-2017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19/12/2017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11/12/2017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REX 9-2017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PLENO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19/12/2017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82914" w:rsidRPr="00482914" w:rsidTr="00EE5F41">
        <w:trPr>
          <w:trHeight w:val="300"/>
        </w:trPr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14/12/2017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REPARO FACTURAS DECEMBRO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ALCALDE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14/12/2017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2914">
              <w:rPr>
                <w:rFonts w:asciiTheme="minorHAnsi" w:hAnsiTheme="minorHAnsi" w:cstheme="minorHAnsi"/>
                <w:sz w:val="18"/>
                <w:szCs w:val="18"/>
              </w:rPr>
              <w:t>570/2017</w:t>
            </w:r>
          </w:p>
        </w:tc>
      </w:tr>
    </w:tbl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</w:rPr>
      </w:pPr>
    </w:p>
    <w:p w:rsidR="00482914" w:rsidRPr="00482914" w:rsidRDefault="00482914" w:rsidP="00482914">
      <w:pPr>
        <w:autoSpaceDE w:val="0"/>
        <w:jc w:val="both"/>
        <w:rPr>
          <w:rFonts w:asciiTheme="minorHAnsi" w:hAnsiTheme="minorHAnsi" w:cstheme="minorHAnsi"/>
        </w:rPr>
      </w:pPr>
    </w:p>
    <w:p w:rsidR="00482914" w:rsidRPr="00482914" w:rsidRDefault="00482914" w:rsidP="00482914">
      <w:pPr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b/>
          <w:sz w:val="22"/>
          <w:szCs w:val="22"/>
        </w:rPr>
        <w:t>Segundo</w:t>
      </w:r>
      <w:r w:rsidRPr="00482914">
        <w:rPr>
          <w:rFonts w:asciiTheme="minorHAnsi" w:hAnsiTheme="minorHAnsi" w:cstheme="minorHAnsi"/>
          <w:sz w:val="22"/>
          <w:szCs w:val="22"/>
        </w:rPr>
        <w:t xml:space="preserve">. Anomalías en materia de ingresos </w:t>
      </w:r>
    </w:p>
    <w:p w:rsidR="00482914" w:rsidRPr="00482914" w:rsidRDefault="00482914" w:rsidP="00482914">
      <w:pPr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sz w:val="22"/>
          <w:szCs w:val="22"/>
        </w:rPr>
        <w:t xml:space="preserve">Ademáis dos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sinalados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expresamente en materia de ingresos,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outras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anomalías en materia de ingresos son 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>:</w:t>
      </w:r>
    </w:p>
    <w:p w:rsidR="00482914" w:rsidRPr="00482914" w:rsidRDefault="00482914" w:rsidP="00482914">
      <w:pPr>
        <w:widowControl w:val="0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sz w:val="22"/>
          <w:szCs w:val="22"/>
        </w:rPr>
        <w:t xml:space="preserve">En relación coas anomalías en materia de ingresos, debe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facerse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constar que non se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aplicou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a ordenanza reguladora da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utilizacion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do dominio público local do 2016 en relación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colectores de aceite usado.</w:t>
      </w:r>
    </w:p>
    <w:p w:rsidR="00482914" w:rsidRPr="00482914" w:rsidRDefault="00482914" w:rsidP="00482914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82914" w:rsidRPr="00482914" w:rsidRDefault="00482914" w:rsidP="00482914">
      <w:pPr>
        <w:widowControl w:val="0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relacións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remitidas de ingresos do Auditorio figuran conceptos que non se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atopan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ordenanza fiscal en vigor como son ingresos de entradas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actuacións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, como derivadas de AGADIC (2,5 €) fronte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3,00 € de entrada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2,00 de entrada reducida.  Esta é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anomalía grave en materia de ingresos por non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poder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esixir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importes non amparados pola preceptiva norma,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debendo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cesar no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cobramento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estos conceptos non previstos pola Ordenanza,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impulsar a modificación da ordenanza para amparar 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cobramento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>.</w:t>
      </w:r>
    </w:p>
    <w:p w:rsidR="00482914" w:rsidRPr="00482914" w:rsidRDefault="00482914" w:rsidP="00482914">
      <w:pPr>
        <w:pStyle w:val="Prrafodelista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482914" w:rsidRPr="00482914" w:rsidRDefault="00482914" w:rsidP="00482914">
      <w:pPr>
        <w:widowControl w:val="0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914">
        <w:rPr>
          <w:rFonts w:asciiTheme="minorHAnsi" w:hAnsiTheme="minorHAnsi" w:cstheme="minorHAnsi"/>
          <w:sz w:val="22"/>
          <w:szCs w:val="22"/>
        </w:rPr>
        <w:t xml:space="preserve">O 18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febreiro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2013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redactouse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un informe desfavorable relativo a exención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e ICIO polas obras do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embelecemento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entorno de San Andrés de Teixido. A data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hoxe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non consta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que fose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aboados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os tributos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resolta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a discrepancia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>.</w:t>
      </w:r>
    </w:p>
    <w:p w:rsidR="00482914" w:rsidRPr="00482914" w:rsidRDefault="00482914" w:rsidP="00482914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82914" w:rsidRPr="00482914" w:rsidRDefault="00482914" w:rsidP="00482914">
      <w:pPr>
        <w:widowControl w:val="0"/>
        <w:numPr>
          <w:ilvl w:val="0"/>
          <w:numId w:val="1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Xunta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gramStart"/>
      <w:r w:rsidRPr="00482914">
        <w:rPr>
          <w:rFonts w:asciiTheme="minorHAnsi" w:hAnsiTheme="minorHAnsi" w:cstheme="minorHAnsi"/>
          <w:sz w:val="22"/>
          <w:szCs w:val="22"/>
        </w:rPr>
        <w:t>do  18</w:t>
      </w:r>
      <w:proofErr w:type="gramEnd"/>
      <w:r w:rsidRPr="0048291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2017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deuse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conta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informe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conxunto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e Intervención en relación cos ingresos ata 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terceiro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trimestre </w:t>
      </w:r>
      <w:r w:rsidRPr="00482914">
        <w:rPr>
          <w:rFonts w:asciiTheme="minorHAnsi" w:hAnsiTheme="minorHAnsi" w:cstheme="minorHAnsi"/>
          <w:sz w:val="22"/>
          <w:szCs w:val="22"/>
        </w:rPr>
        <w:lastRenderedPageBreak/>
        <w:t xml:space="preserve">de 2017. O informe tiña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especial mención a Evolución dos ingresos das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instalacións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deportivas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cunha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reducción respecto do mesmo período do ano anterior de 6.943,00 </w:t>
      </w:r>
      <w:proofErr w:type="gramStart"/>
      <w:r w:rsidRPr="00482914">
        <w:rPr>
          <w:rFonts w:asciiTheme="minorHAnsi" w:hAnsiTheme="minorHAnsi" w:cstheme="minorHAnsi"/>
          <w:sz w:val="22"/>
          <w:szCs w:val="22"/>
        </w:rPr>
        <w:t>€  (</w:t>
      </w:r>
      <w:proofErr w:type="gramEnd"/>
      <w:r w:rsidRPr="00482914">
        <w:rPr>
          <w:rFonts w:asciiTheme="minorHAnsi" w:hAnsiTheme="minorHAnsi" w:cstheme="minorHAnsi"/>
          <w:sz w:val="22"/>
          <w:szCs w:val="22"/>
        </w:rPr>
        <w:t xml:space="preserve">un 17,79% menos respecto do 2016).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Tamén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informouse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que dende o 19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2017 non figura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ingresos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relación de ingresos dos que se recaudan en metálico no polideportivo directamente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explicación que o motive. A 31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2017 sigue sin constar ningún ingreso dos recadados en metálico no polideportivo municipal.</w:t>
      </w:r>
    </w:p>
    <w:p w:rsidR="00482914" w:rsidRPr="00482914" w:rsidRDefault="00482914" w:rsidP="00482914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82914" w:rsidRPr="00482914" w:rsidRDefault="00482914" w:rsidP="00482914">
      <w:pPr>
        <w:widowControl w:val="0"/>
        <w:numPr>
          <w:ilvl w:val="0"/>
          <w:numId w:val="1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Xunta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2914">
        <w:rPr>
          <w:rFonts w:asciiTheme="minorHAnsi" w:hAnsiTheme="minorHAnsi" w:cstheme="minorHAnsi"/>
          <w:sz w:val="22"/>
          <w:szCs w:val="22"/>
        </w:rPr>
        <w:t>Local  do</w:t>
      </w:r>
      <w:proofErr w:type="gramEnd"/>
      <w:r w:rsidRPr="00482914">
        <w:rPr>
          <w:rFonts w:asciiTheme="minorHAnsi" w:hAnsiTheme="minorHAnsi" w:cstheme="minorHAnsi"/>
          <w:sz w:val="22"/>
          <w:szCs w:val="22"/>
        </w:rPr>
        <w:t xml:space="preserve"> 18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2017, en relación cos cobros mediante domiciliación dos ingresos do polideportivo, pola Intervención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advertiuse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que os cobros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propostos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non se correspondían coas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aprobadas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ordenanza fiscal. Do mesmo modo se indica que o período de actividades, tanto do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trimestre, como da temporada octubre 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xuño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no presenta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variacións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sustanciais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respecto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exercicios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anteriores polo que non se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xustifica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que os ingresos se reduzcan respecto das cantidades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vixentes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>.</w:t>
      </w:r>
    </w:p>
    <w:p w:rsidR="00482914" w:rsidRPr="00482914" w:rsidRDefault="00482914" w:rsidP="00482914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82914" w:rsidRPr="00482914" w:rsidRDefault="00482914" w:rsidP="00482914">
      <w:pPr>
        <w:widowControl w:val="0"/>
        <w:numPr>
          <w:ilvl w:val="0"/>
          <w:numId w:val="1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Xunta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gramStart"/>
      <w:r w:rsidRPr="00482914">
        <w:rPr>
          <w:rFonts w:asciiTheme="minorHAnsi" w:hAnsiTheme="minorHAnsi" w:cstheme="minorHAnsi"/>
          <w:sz w:val="22"/>
          <w:szCs w:val="22"/>
        </w:rPr>
        <w:t>do  24</w:t>
      </w:r>
      <w:proofErr w:type="gramEnd"/>
      <w:r w:rsidRPr="0048291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2017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deuse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conta do informe de Intervención do  17 de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de 2017 en relación coa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xustificación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da subvención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Comisión de Festas do 2017,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deuse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conta da evolución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tamén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negativa e igualmente sen motivación por cambios normativos dos  datos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globais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respecto dos  ingresos en concepto de posto e barracas (concepto 339.02) nos </w:t>
      </w:r>
      <w:proofErr w:type="spellStart"/>
      <w:r w:rsidRPr="00482914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482914">
        <w:rPr>
          <w:rFonts w:asciiTheme="minorHAnsi" w:hAnsiTheme="minorHAnsi" w:cstheme="minorHAnsi"/>
          <w:sz w:val="22"/>
          <w:szCs w:val="22"/>
        </w:rPr>
        <w:t xml:space="preserve"> termos:</w:t>
      </w:r>
    </w:p>
    <w:p w:rsidR="00482914" w:rsidRPr="00482914" w:rsidRDefault="00482914" w:rsidP="00482914">
      <w:pPr>
        <w:widowControl w:val="0"/>
        <w:autoSpaceDE w:val="0"/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1787"/>
        <w:gridCol w:w="1843"/>
        <w:gridCol w:w="1711"/>
        <w:gridCol w:w="10"/>
      </w:tblGrid>
      <w:tr w:rsidR="00482914" w:rsidRPr="00482914" w:rsidTr="00EE5F41">
        <w:trPr>
          <w:trHeight w:val="27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829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Exercicio</w:t>
            </w:r>
            <w:proofErr w:type="spellEnd"/>
            <w:r w:rsidRPr="004829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829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Exercicio</w:t>
            </w:r>
            <w:proofErr w:type="spellEnd"/>
            <w:r w:rsidRPr="004829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829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Exercicio</w:t>
            </w:r>
            <w:proofErr w:type="spellEnd"/>
            <w:r w:rsidRPr="004829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482914" w:rsidRPr="00482914" w:rsidTr="00EE5F41">
        <w:trPr>
          <w:trHeight w:val="315"/>
        </w:trPr>
        <w:tc>
          <w:tcPr>
            <w:tcW w:w="3883" w:type="dxa"/>
            <w:tcBorders>
              <w:left w:val="single" w:sz="8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Ingresos </w:t>
            </w:r>
            <w:proofErr w:type="spellStart"/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postos</w:t>
            </w:r>
            <w:proofErr w:type="spellEnd"/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barracas </w:t>
            </w:r>
            <w:proofErr w:type="spellStart"/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</w:t>
            </w:r>
            <w:proofErr w:type="spellEnd"/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festas</w:t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16.918,00 €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10.756,26 €</w:t>
            </w:r>
          </w:p>
        </w:tc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8.245,44 €</w:t>
            </w:r>
          </w:p>
        </w:tc>
      </w:tr>
      <w:tr w:rsidR="00482914" w:rsidRPr="00482914" w:rsidTr="00EE5F41">
        <w:trPr>
          <w:gridAfter w:val="1"/>
          <w:wAfter w:w="10" w:type="dxa"/>
          <w:trHeight w:val="300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Diferencia ano anterior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-6.161,74 €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-2.510,82 €</w:t>
            </w:r>
          </w:p>
        </w:tc>
      </w:tr>
      <w:tr w:rsidR="00482914" w:rsidRPr="00482914" w:rsidTr="00EE5F41">
        <w:trPr>
          <w:gridAfter w:val="1"/>
          <w:wAfter w:w="10" w:type="dxa"/>
          <w:trHeight w:val="300"/>
        </w:trPr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Porcentaxe</w:t>
            </w:r>
            <w:proofErr w:type="spellEnd"/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diferenza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-36,42%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914" w:rsidRPr="00482914" w:rsidRDefault="00482914" w:rsidP="00EE5F41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-23,34%</w:t>
            </w:r>
          </w:p>
        </w:tc>
      </w:tr>
    </w:tbl>
    <w:p w:rsidR="00482914" w:rsidRPr="00482914" w:rsidRDefault="00482914">
      <w:pPr>
        <w:rPr>
          <w:rFonts w:asciiTheme="minorHAnsi" w:hAnsiTheme="minorHAnsi" w:cstheme="minorHAnsi"/>
        </w:rPr>
      </w:pPr>
    </w:p>
    <w:sectPr w:rsidR="00482914" w:rsidRPr="00482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C"/>
    <w:multiLevelType w:val="singleLevel"/>
    <w:tmpl w:val="0000004C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14"/>
    <w:rsid w:val="004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E4C5"/>
  <w15:chartTrackingRefBased/>
  <w15:docId w15:val="{7D8B1B62-9DE9-4658-A771-199CAD46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82914"/>
    <w:pPr>
      <w:widowControl w:val="0"/>
      <w:ind w:left="720"/>
      <w:textAlignment w:val="baseline"/>
    </w:pPr>
    <w:rPr>
      <w:rFonts w:eastAsia="SimSun"/>
      <w:kern w:val="1"/>
      <w:lang w:val="gl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1</cp:revision>
  <dcterms:created xsi:type="dcterms:W3CDTF">2019-07-19T09:55:00Z</dcterms:created>
  <dcterms:modified xsi:type="dcterms:W3CDTF">2019-07-19T09:58:00Z</dcterms:modified>
</cp:coreProperties>
</file>