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88F014F" w14:textId="4B0B261F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963421">
        <w:rPr>
          <w:rFonts w:asciiTheme="minorHAnsi" w:eastAsiaTheme="minorHAnsi" w:hAnsiTheme="minorHAnsi" w:cstheme="minorBidi"/>
          <w:lang w:val="es-ES"/>
        </w:rPr>
        <w:t>27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abril de 2020, a efectos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963421">
        <w:rPr>
          <w:rFonts w:asciiTheme="minorHAnsi" w:eastAsiaTheme="minorHAnsi" w:hAnsiTheme="minorHAnsi" w:cstheme="minorBidi"/>
          <w:lang w:val="es-ES"/>
        </w:rPr>
        <w:t>28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abril de 2020. </w:t>
      </w:r>
    </w:p>
    <w:p w14:paraId="1C6518FB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13214BC" w14:textId="636B09D5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mediante Real Decreto 463/2020, do 14 de marzo, declárase o estado de alarma durante quince días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naturais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para 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situación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crise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sanitaria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ocasionada polo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COVID-19. </w:t>
      </w:r>
    </w:p>
    <w:p w14:paraId="32B9A9DA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22C63" w14:textId="4926D1A0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polo Real Decreto 476/2020, do 27 de marzo,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do 14 de marzo, ata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00:00 horas do día 12 de abril de 2020, </w:t>
      </w:r>
    </w:p>
    <w:p w14:paraId="7144D45E" w14:textId="789413E7" w:rsidR="00963421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6834807" w14:textId="5FA4817D" w:rsid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Resultando que polo Real Decreto 487/2020, de 10 de abril,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26 de abril de 2020, </w:t>
      </w:r>
    </w:p>
    <w:p w14:paraId="45088475" w14:textId="77777777" w:rsidR="00963421" w:rsidRP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3CC8B90" w14:textId="156F0877" w:rsidR="00963421" w:rsidRPr="005E4423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Resultando que polo Real Decreto 492/2020, de 24 de abril,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10 de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de 2020,</w:t>
      </w:r>
    </w:p>
    <w:p w14:paraId="36A7068C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07DC5BB" w14:textId="05C243F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artigo 46 da Leí 7/1985, do 2 de abril, Reguladora das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pala Disposición final segunda do Real Decreto-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08B5FFE6" w14:textId="77777777" w:rsidR="00963421" w:rsidRPr="005E4423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176E60" w14:textId="07300E9A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válidamente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constituirse,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celebrar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2FF6CDA1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6F718DD" w14:textId="4210C12C" w:rsidR="005814AB" w:rsidRPr="00202EA5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canto antecede, no uso das facultades que me están conferidas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963421">
        <w:rPr>
          <w:rFonts w:asciiTheme="minorHAnsi" w:eastAsiaTheme="minorHAnsi" w:hAnsiTheme="minorHAnsi" w:cstheme="minorBidi"/>
          <w:lang w:val="es-ES"/>
        </w:rPr>
        <w:t>28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abril de 2020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</w:t>
      </w:r>
      <w:r w:rsidR="00963421">
        <w:rPr>
          <w:rFonts w:asciiTheme="minorHAnsi" w:eastAsiaTheme="minorHAnsi" w:hAnsiTheme="minorHAnsi" w:cstheme="minorBidi"/>
          <w:lang w:val="es-ES"/>
        </w:rPr>
        <w:t>8</w:t>
      </w:r>
      <w:r w:rsidRPr="005E4423">
        <w:rPr>
          <w:rFonts w:asciiTheme="minorHAnsi" w:eastAsiaTheme="minorHAnsi" w:hAnsiTheme="minorHAnsi" w:cstheme="minorBidi"/>
          <w:lang w:val="es-ES"/>
        </w:rPr>
        <w:t>:</w:t>
      </w:r>
      <w:r w:rsidR="00963421">
        <w:rPr>
          <w:rFonts w:asciiTheme="minorHAnsi" w:eastAsiaTheme="minorHAnsi" w:hAnsiTheme="minorHAnsi" w:cstheme="minorBidi"/>
          <w:lang w:val="es-ES"/>
        </w:rPr>
        <w:t>0</w:t>
      </w:r>
      <w:r w:rsidRPr="005E4423">
        <w:rPr>
          <w:rFonts w:asciiTheme="minorHAnsi" w:eastAsiaTheme="minorHAnsi" w:hAnsiTheme="minorHAnsi" w:cstheme="minorBidi"/>
          <w:lang w:val="es-ES"/>
        </w:rPr>
        <w:t xml:space="preserve">0 horas, en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r w:rsidRPr="005E4423">
        <w:rPr>
          <w:rFonts w:asciiTheme="minorHAnsi" w:eastAsiaTheme="minorHAnsi" w:hAnsiTheme="minorHAnsi" w:cstheme="minorBidi"/>
          <w:lang w:val="es-ES"/>
        </w:rPr>
        <w:lastRenderedPageBreak/>
        <w:t xml:space="preserve">convocatoria, 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ca estipulado no artigo 113.1.c) do R.O.F., coa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>:</w:t>
      </w: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67F98BE" w14:textId="77777777" w:rsidR="00963421" w:rsidRDefault="00151B16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963421">
        <w:rPr>
          <w:rFonts w:asciiTheme="minorHAnsi" w:eastAsiaTheme="minorHAnsi" w:hAnsiTheme="minorHAnsi" w:cstheme="minorBidi"/>
          <w:lang w:val="es-ES"/>
        </w:rPr>
        <w:t>0</w:t>
      </w:r>
      <w:r w:rsidR="005E4423">
        <w:rPr>
          <w:rFonts w:asciiTheme="minorHAnsi" w:eastAsiaTheme="minorHAnsi" w:hAnsiTheme="minorHAnsi" w:cstheme="minorBidi"/>
          <w:lang w:val="es-ES"/>
        </w:rPr>
        <w:t>3</w:t>
      </w:r>
      <w:r w:rsidRPr="004923B8">
        <w:rPr>
          <w:rFonts w:asciiTheme="minorHAnsi" w:eastAsiaTheme="minorHAnsi" w:hAnsiTheme="minorHAnsi" w:cstheme="minorBidi"/>
          <w:lang w:val="es-ES"/>
        </w:rPr>
        <w:t>.0</w:t>
      </w:r>
      <w:r w:rsidR="00963421">
        <w:rPr>
          <w:rFonts w:asciiTheme="minorHAnsi" w:eastAsiaTheme="minorHAnsi" w:hAnsiTheme="minorHAnsi" w:cstheme="minorBidi"/>
          <w:lang w:val="es-ES"/>
        </w:rPr>
        <w:t>4</w:t>
      </w:r>
      <w:r w:rsidRPr="004923B8">
        <w:rPr>
          <w:rFonts w:asciiTheme="minorHAnsi" w:eastAsiaTheme="minorHAnsi" w:hAnsiTheme="minorHAnsi" w:cstheme="minorBidi"/>
          <w:lang w:val="es-ES"/>
        </w:rPr>
        <w:t>.2020.</w:t>
      </w:r>
    </w:p>
    <w:p w14:paraId="272E5494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LICENZA DE EDIFICACIÓN 2019/U022/000004</w:t>
      </w:r>
    </w:p>
    <w:p w14:paraId="0996028A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LICENZA DE EDIFICACIÓN 2019/U022/000016</w:t>
      </w:r>
    </w:p>
    <w:p w14:paraId="170021E2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APROBACIÓN RELACIÓN DE FACTURAS F-2020-16</w:t>
      </w:r>
    </w:p>
    <w:p w14:paraId="1998EC3A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BAIXA LIXO NON HABITABLE 34.2019</w:t>
      </w:r>
    </w:p>
    <w:p w14:paraId="658356C6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35.2019</w:t>
      </w:r>
    </w:p>
    <w:p w14:paraId="779F475C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36.2019</w:t>
      </w:r>
    </w:p>
    <w:p w14:paraId="0E7B2B94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 </w:t>
      </w:r>
      <w:r w:rsidRPr="00963421">
        <w:rPr>
          <w:rFonts w:asciiTheme="minorHAnsi" w:eastAsiaTheme="minorHAnsi" w:hAnsiTheme="minorHAnsi" w:cstheme="minorBidi"/>
          <w:lang w:val="es-ES"/>
        </w:rPr>
        <w:t>RECURSO RECIBO LIXO 37.2019</w:t>
      </w:r>
    </w:p>
    <w:p w14:paraId="20A88807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 RECURSO RECIBO LIXO 38.2019</w:t>
      </w:r>
    </w:p>
    <w:p w14:paraId="611CDCDA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39.2019</w:t>
      </w:r>
    </w:p>
    <w:p w14:paraId="3AAE6AFB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40.2019</w:t>
      </w:r>
    </w:p>
    <w:p w14:paraId="5D4FF183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41.2019</w:t>
      </w:r>
    </w:p>
    <w:p w14:paraId="5AB7ACBD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42.2019</w:t>
      </w:r>
    </w:p>
    <w:p w14:paraId="723B545D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RECURSO RECIBO LIXO 43.2019</w:t>
      </w:r>
    </w:p>
    <w:p w14:paraId="20FF21EB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APROBACIÓN DA CERTIFICCACIÓN NÚM. 2 DA OBRA "MELLORA DE CAMIÑOS NO CONCELLO DE CEDEIRA. AGADER 2019" E FACTURA CORRESPONDENTE</w:t>
      </w:r>
    </w:p>
    <w:p w14:paraId="227F0B08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DEVOLUCIÓN DO AVAL CORRESPONDENTE Á OBRA "CONSERVACIÓN E MANTEMENTO NA CARPINTERÍA EXTERIOR DOS ESCOLARES DE PIÑEIRO E ESTEIRO. PAS-2015"</w:t>
      </w:r>
    </w:p>
    <w:p w14:paraId="616833EC" w14:textId="77777777" w:rsid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>DEVOLUCIÓN DO AVAL CORRESPONDENTE Á OBRA "MELLORA DE CAMIÑOS NO CONCELLO DE CEDEIRA. AGADER 2018"</w:t>
      </w:r>
    </w:p>
    <w:p w14:paraId="67FC0600" w14:textId="6B63740E" w:rsidR="00963421" w:rsidRPr="00963421" w:rsidRDefault="00963421" w:rsidP="00963421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 ASUNTOS VARIOS</w:t>
      </w:r>
    </w:p>
    <w:p w14:paraId="42739E76" w14:textId="77777777" w:rsid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41926902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6AC2" w14:textId="77777777" w:rsidR="00BD1192" w:rsidRDefault="00BD1192" w:rsidP="00202EA5">
      <w:r>
        <w:separator/>
      </w:r>
    </w:p>
  </w:endnote>
  <w:endnote w:type="continuationSeparator" w:id="0">
    <w:p w14:paraId="5F1B38EB" w14:textId="77777777" w:rsidR="00BD1192" w:rsidRDefault="00BD1192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15CA" w14:textId="77777777" w:rsidR="00BD1192" w:rsidRDefault="00BD1192" w:rsidP="00202EA5">
      <w:r>
        <w:separator/>
      </w:r>
    </w:p>
  </w:footnote>
  <w:footnote w:type="continuationSeparator" w:id="0">
    <w:p w14:paraId="005A2CF0" w14:textId="77777777" w:rsidR="00BD1192" w:rsidRDefault="00BD1192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1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402E43"/>
    <w:rsid w:val="00406936"/>
    <w:rsid w:val="004923B8"/>
    <w:rsid w:val="0050194A"/>
    <w:rsid w:val="00517B7A"/>
    <w:rsid w:val="005814AB"/>
    <w:rsid w:val="00582099"/>
    <w:rsid w:val="005E4423"/>
    <w:rsid w:val="005E76BB"/>
    <w:rsid w:val="00760B66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2020-04-28T12:15:00Z</dcterms:created>
  <dcterms:modified xsi:type="dcterms:W3CDTF">2020-04-28T12:15:00Z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