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3FFD80B6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C428B6">
        <w:rPr>
          <w:rFonts w:asciiTheme="minorHAnsi" w:eastAsiaTheme="minorHAnsi" w:hAnsiTheme="minorHAnsi" w:cstheme="minorBidi"/>
          <w:lang w:val="es-ES"/>
        </w:rPr>
        <w:t>21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C428B6">
        <w:rPr>
          <w:rFonts w:asciiTheme="minorHAnsi" w:eastAsiaTheme="minorHAnsi" w:hAnsiTheme="minorHAnsi" w:cstheme="minorBidi"/>
          <w:lang w:val="es-ES"/>
        </w:rPr>
        <w:t>22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06957841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C428B6">
        <w:rPr>
          <w:rFonts w:asciiTheme="minorHAnsi" w:eastAsiaTheme="minorHAnsi" w:hAnsiTheme="minorHAnsi" w:cstheme="minorBidi"/>
          <w:lang w:val="es-ES"/>
        </w:rPr>
        <w:t>22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ABAA797" w14:textId="5681236D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APROBACIÓN, SI PROCEDE, DA ACTA DE 10.09.2020.</w:t>
      </w:r>
    </w:p>
    <w:p w14:paraId="15BC3E33" w14:textId="0D4E8C83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PROPOSTA APROBACION RELACION DE FACTURAS F-2020-47</w:t>
      </w:r>
    </w:p>
    <w:p w14:paraId="4421D1E1" w14:textId="599EB376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SERVIZO DE AXUDA NO FOGAR CORRESPONDENTES AO MES DE MAIO DE 2020.</w:t>
      </w:r>
    </w:p>
    <w:p w14:paraId="6E0714DC" w14:textId="03744DC6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DAR CONTA DA RESOLUCION DE ALCALDÍA 463/2020 DE 01/09/2020 DE SOLICITUDE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AXUDA PARA O PROXECTO NON PRODUCTIVO: PROGRAMA PARTICIPATIVO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DESENVOLVEMENTO PESQUEIRO E TURÍSTICO DE CEDEIRA: IMPULSO DA GOBERNANZA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SE</w:t>
      </w:r>
      <w:r w:rsidRPr="00C428B6">
        <w:rPr>
          <w:rFonts w:asciiTheme="minorHAnsi" w:eastAsiaTheme="minorHAnsi" w:hAnsiTheme="minorHAnsi" w:cstheme="minorBidi"/>
          <w:lang w:val="es-ES"/>
        </w:rPr>
        <w:t>CTOR PESQUEIRO E TURÍSTICO NO DESENVOLVEMENTO SOCIOECONÓMICO DA VILA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CEDEIRA. PESCATURACCIÓN CEDEIRA, DA CONSELLERÍA DO MAR.</w:t>
      </w:r>
    </w:p>
    <w:p w14:paraId="10E32799" w14:textId="44549BC8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lastRenderedPageBreak/>
        <w:t>DAR CONTA DA RESOLUCIÓN DE ALCALDÍA 452/2020 DE 25.08.2020 DE APROBACIÓN DA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CONVOCATORIA E BASES DO VI CERTAME DE PINTURA RÁPIDA O AR LIBRE VILA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CEDEIRA</w:t>
      </w:r>
    </w:p>
    <w:p w14:paraId="7D28E7EE" w14:textId="05BC46CF" w:rsidR="00C428B6" w:rsidRPr="00C428B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DAR CONTA DA RESOLUCION DE ALCALDÍA 501/2020 DE 17/09/2020 - SOLICITUDE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ADHESIÓN ÁS AXUDAS PEL-REACTIVA: FONDO DE FINANCIAMENTO PARA A REACTIVACION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428B6">
        <w:rPr>
          <w:rFonts w:asciiTheme="minorHAnsi" w:eastAsiaTheme="minorHAnsi" w:hAnsiTheme="minorHAnsi" w:cstheme="minorBidi"/>
          <w:lang w:val="es-ES"/>
        </w:rPr>
        <w:t>ECONÓMICA E SOCIAL DA PROVINCIA DA CORUÑA.</w:t>
      </w:r>
    </w:p>
    <w:p w14:paraId="328F4FC4" w14:textId="5FAAC1CB" w:rsidR="00F60476" w:rsidRPr="00F60476" w:rsidRDefault="00C428B6" w:rsidP="00C428B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C428B6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022D83CE" w:rsidR="003A188C" w:rsidRDefault="00A170B6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272615D5" w14:textId="7428809D" w:rsidR="003A188C" w:rsidRDefault="003A188C" w:rsidP="003A188C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p w14:paraId="72FC0943" w14:textId="317A9D2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6DCC" w14:textId="77777777" w:rsidR="00346CF0" w:rsidRDefault="00346CF0" w:rsidP="00202EA5">
      <w:r>
        <w:separator/>
      </w:r>
    </w:p>
  </w:endnote>
  <w:endnote w:type="continuationSeparator" w:id="0">
    <w:p w14:paraId="3D64EBF5" w14:textId="77777777" w:rsidR="00346CF0" w:rsidRDefault="00346CF0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8E0C" w14:textId="77777777" w:rsidR="00346CF0" w:rsidRDefault="00346CF0" w:rsidP="00202EA5">
      <w:r>
        <w:separator/>
      </w:r>
    </w:p>
  </w:footnote>
  <w:footnote w:type="continuationSeparator" w:id="0">
    <w:p w14:paraId="61681FD4" w14:textId="77777777" w:rsidR="00346CF0" w:rsidRDefault="00346CF0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46CF0"/>
    <w:rsid w:val="003831A0"/>
    <w:rsid w:val="00387DF0"/>
    <w:rsid w:val="00395C00"/>
    <w:rsid w:val="003A188C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103A9"/>
    <w:rsid w:val="00760B66"/>
    <w:rsid w:val="007C3694"/>
    <w:rsid w:val="007C4551"/>
    <w:rsid w:val="00820225"/>
    <w:rsid w:val="0087243C"/>
    <w:rsid w:val="00873E23"/>
    <w:rsid w:val="009172B3"/>
    <w:rsid w:val="00920052"/>
    <w:rsid w:val="00963421"/>
    <w:rsid w:val="009D23B0"/>
    <w:rsid w:val="00A170B6"/>
    <w:rsid w:val="00AC1E98"/>
    <w:rsid w:val="00B57DA0"/>
    <w:rsid w:val="00BC4C9E"/>
    <w:rsid w:val="00BD1192"/>
    <w:rsid w:val="00BF5ECA"/>
    <w:rsid w:val="00C15AEE"/>
    <w:rsid w:val="00C34EAF"/>
    <w:rsid w:val="00C428B6"/>
    <w:rsid w:val="00C81AEA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2020-09-22T09:30:00Z</dcterms:created>
  <dcterms:modified xsi:type="dcterms:W3CDTF">2020-09-22T09:30:00Z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